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8"/>
          <w:szCs w:val="28"/>
          <w:lang w:eastAsia="da-DK"/>
        </w:rPr>
        <w:t xml:space="preserve">Kommentarer til rentabiliteten: </w:t>
      </w: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Afkastningsgraden (AG): </w:t>
      </w: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Afkastningsgraden ligger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i  2011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på 5,5% hvilket er et  utilfredsstillende niveau sammenlignet  </w:t>
      </w:r>
      <w:r>
        <w:rPr>
          <w:rFonts w:ascii="Arial" w:eastAsia="Times New Roman" w:hAnsi="Arial" w:cs="Arial"/>
          <w:sz w:val="24"/>
          <w:szCs w:val="24"/>
          <w:lang w:eastAsia="da-DK"/>
        </w:rPr>
        <w:t>ALPAK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som ligger på  9,2% . Afkastningsgraden er i perioden faldet med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44%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. Udviklingen skyldes primært et fald i overskudsgraden på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41%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B4427F"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(Husk sammenhængen AG=OG*AOH) 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  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Overskudsgraden (OG): </w:t>
      </w: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>Overskudsgraden er "hovednøgletal" for indtjeningsevnen. Niveauet for overskudsgraden ligger i 2011 på 3,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9%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dvs. </w:t>
      </w:r>
      <w:proofErr w:type="spell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TrioPak</w:t>
      </w:r>
      <w:proofErr w:type="spell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A/S tjener </w:t>
      </w:r>
      <w:r>
        <w:rPr>
          <w:rFonts w:ascii="Arial" w:eastAsia="Times New Roman" w:hAnsi="Arial" w:cs="Arial"/>
          <w:sz w:val="24"/>
          <w:szCs w:val="24"/>
          <w:lang w:eastAsia="da-DK"/>
        </w:rPr>
        <w:t>3,9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kr. i resultat før renter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pr. 100 kroners salg/omsætning.  </w:t>
      </w: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Ved benchmarking med </w:t>
      </w:r>
      <w:proofErr w:type="gramStart"/>
      <w:r>
        <w:rPr>
          <w:rFonts w:ascii="Arial" w:eastAsia="Times New Roman" w:hAnsi="Arial" w:cs="Arial"/>
          <w:sz w:val="24"/>
          <w:szCs w:val="24"/>
          <w:lang w:eastAsia="da-DK"/>
        </w:rPr>
        <w:t>ALPAK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bør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overskudsgraden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>ligge på 6,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5%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. Niveauet er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dermed  utilfredsstillende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Aktivernes omsætningshastighed (AOH): 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TrioPak</w:t>
      </w:r>
      <w:proofErr w:type="spell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A/S omsætter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i  2011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sine aktiver 1,4 gange. Niveauet bør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ligge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på  1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,46 gange ifølge </w:t>
      </w:r>
      <w:r>
        <w:rPr>
          <w:rFonts w:ascii="Arial" w:eastAsia="Times New Roman" w:hAnsi="Arial" w:cs="Arial"/>
          <w:sz w:val="24"/>
          <w:szCs w:val="24"/>
          <w:lang w:eastAsia="da-DK"/>
        </w:rPr>
        <w:t>ALPAK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. Niveauet må derfor betegnes som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tilfredsstillende. AOH har i perioden udviklet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sig  negativt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hvilket har bidraget til at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forringe den samlede rentabilitet (AG). I alt er faldet i AOH på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6%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i perioden.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Egenkapitalens forrentning (EKF), gældsrenten, gearing og soliditet: 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Niveauet for EKF ligger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på  7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,2% sammenlignet med andre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ALPAK 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som </w:t>
      </w:r>
      <w:r>
        <w:rPr>
          <w:rFonts w:ascii="Arial" w:eastAsia="Times New Roman" w:hAnsi="Arial" w:cs="Arial"/>
          <w:sz w:val="24"/>
          <w:szCs w:val="24"/>
          <w:lang w:eastAsia="da-DK"/>
        </w:rPr>
        <w:t>li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gger på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>17,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8%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er dette utilfredsstillende. Gældsrenten ligger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i  2011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på  3,9%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hvilket er  under afkastningsgraden dvs.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TrioPak</w:t>
      </w:r>
      <w:proofErr w:type="spell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tjener på fremmedkapitalen.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</w:t>
      </w:r>
    </w:p>
    <w:p w:rsid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Marginalrenten (AG - gældsrenten) er på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ca.  </w:t>
      </w:r>
      <w:r>
        <w:rPr>
          <w:rFonts w:ascii="Arial" w:eastAsia="Times New Roman" w:hAnsi="Arial" w:cs="Arial"/>
          <w:sz w:val="24"/>
          <w:szCs w:val="24"/>
          <w:lang w:eastAsia="da-DK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>,6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>% .</w:t>
      </w:r>
      <w:bookmarkStart w:id="0" w:name="_GoBack"/>
      <w:bookmarkEnd w:id="0"/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Indtjeningsevnen: </w:t>
      </w: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>Overskudsgraden er i perioden faldet fra 6,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6%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til  3,9% </w:t>
      </w: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.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Omsætningen/salget er steget med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12%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i perioden. </w:t>
      </w:r>
      <w:r w:rsidRPr="00B4427F">
        <w:rPr>
          <w:rFonts w:ascii="Arial" w:eastAsia="Times New Roman" w:hAnsi="Arial" w:cs="Arial"/>
          <w:sz w:val="20"/>
          <w:szCs w:val="20"/>
          <w:lang w:eastAsia="da-DK"/>
        </w:rPr>
        <w:t xml:space="preserve">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Produktions omk. er steget med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7%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i perioden. Dette bevirker at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dækningsgraden  er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steget fra 37% til 40% hvilket medfører at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de variable omkostninger påvirker indtjeningsevnen i positiv retning.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Nulpunktsomsætningen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er  vokset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og ligger nu på kr. 16.907  . Sikkerhedsmargen er på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10%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dvs. hvis omsætningen falder med 10% har  </w:t>
      </w:r>
      <w:proofErr w:type="spell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TrioPak</w:t>
      </w:r>
      <w:proofErr w:type="spell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A/S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"nul i overskud/resultat før renter." 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Kommentarer til de faste omkostninger:      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Produktions omk. er steget med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9%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hvilket har forringet indtjeningen.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Distributions omk. er steget med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50%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hvilket har forringet indtjeningen</w:t>
      </w:r>
      <w:r w:rsidR="00E50F83">
        <w:rPr>
          <w:rFonts w:ascii="Arial" w:eastAsia="Times New Roman" w:hAnsi="Arial" w:cs="Arial"/>
          <w:sz w:val="24"/>
          <w:szCs w:val="24"/>
          <w:lang w:eastAsia="da-DK"/>
        </w:rPr>
        <w:t xml:space="preserve"> med 780 t. kr.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Admnistrationsomk</w:t>
      </w:r>
      <w:proofErr w:type="spell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. er steget med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34%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hvilket har forringet </w:t>
      </w:r>
      <w:r w:rsidR="00E50F83">
        <w:rPr>
          <w:rFonts w:ascii="Arial" w:eastAsia="Times New Roman" w:hAnsi="Arial" w:cs="Arial"/>
          <w:sz w:val="24"/>
          <w:szCs w:val="24"/>
          <w:lang w:eastAsia="da-DK"/>
        </w:rPr>
        <w:t>indtjeningen med 440 t kr.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Afskrivninger er steget med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53%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hvilket har forringet indtjeningen.</w:t>
      </w:r>
    </w:p>
    <w:p w:rsidR="00B4427F" w:rsidRDefault="00B4427F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Finansielle omkostninger er steget med </w:t>
      </w:r>
      <w:proofErr w:type="gramStart"/>
      <w:r w:rsidRPr="00B4427F">
        <w:rPr>
          <w:rFonts w:ascii="Arial" w:eastAsia="Times New Roman" w:hAnsi="Arial" w:cs="Arial"/>
          <w:sz w:val="24"/>
          <w:szCs w:val="24"/>
          <w:lang w:eastAsia="da-DK"/>
        </w:rPr>
        <w:t>18%</w:t>
      </w:r>
      <w:proofErr w:type="gramEnd"/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hvilket har forringet indtjeningen.</w:t>
      </w:r>
    </w:p>
    <w:p w:rsidR="00482B75" w:rsidRPr="00B4427F" w:rsidRDefault="00482B75" w:rsidP="00B44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skal styring på </w:t>
      </w:r>
      <w:proofErr w:type="gramStart"/>
      <w:r>
        <w:rPr>
          <w:rFonts w:ascii="Arial" w:eastAsia="Times New Roman" w:hAnsi="Arial" w:cs="Arial"/>
          <w:sz w:val="24"/>
          <w:szCs w:val="24"/>
          <w:lang w:eastAsia="da-DK"/>
        </w:rPr>
        <w:t>distributions omkostningerne</w:t>
      </w:r>
      <w:proofErr w:type="gram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samt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adm.omk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Konklusionen: </w:t>
      </w: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      </w:t>
      </w:r>
    </w:p>
    <w:p w:rsidR="00B4427F" w:rsidRPr="00B4427F" w:rsidRDefault="00B4427F" w:rsidP="00B44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B4427F">
        <w:rPr>
          <w:rFonts w:ascii="Arial" w:eastAsia="Times New Roman" w:hAnsi="Arial" w:cs="Arial"/>
          <w:sz w:val="24"/>
          <w:szCs w:val="24"/>
          <w:lang w:eastAsia="da-DK"/>
        </w:rPr>
        <w:t xml:space="preserve">           </w:t>
      </w:r>
    </w:p>
    <w:p w:rsidR="003E6CF8" w:rsidRDefault="003E6CF8"/>
    <w:sectPr w:rsidR="003E6C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7F"/>
    <w:rsid w:val="003E6CF8"/>
    <w:rsid w:val="00482B75"/>
    <w:rsid w:val="00B4427F"/>
    <w:rsid w:val="00E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2</cp:revision>
  <dcterms:created xsi:type="dcterms:W3CDTF">2012-01-17T23:19:00Z</dcterms:created>
  <dcterms:modified xsi:type="dcterms:W3CDTF">2012-01-17T23:43:00Z</dcterms:modified>
</cp:coreProperties>
</file>