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4271090"/>
        <w:docPartObj>
          <w:docPartGallery w:val="Cover Pages"/>
          <w:docPartUnique/>
        </w:docPartObj>
      </w:sdtPr>
      <w:sdtEndPr>
        <w:rPr>
          <w:b/>
          <w:sz w:val="48"/>
          <w:szCs w:val="24"/>
        </w:rPr>
      </w:sdtEndPr>
      <w:sdtContent>
        <w:p w14:paraId="3E576FD3" w14:textId="728BF9CE" w:rsidR="00AE2669" w:rsidRDefault="00AE2669">
          <w:r>
            <w:rPr>
              <w:noProof/>
            </w:rPr>
            <mc:AlternateContent>
              <mc:Choice Requires="wps">
                <w:drawing>
                  <wp:anchor distT="0" distB="0" distL="114300" distR="114300" simplePos="0" relativeHeight="251659264" behindDoc="0" locked="0" layoutInCell="1" allowOverlap="1" wp14:anchorId="63D5FC46" wp14:editId="233BE91D">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rFonts w:asciiTheme="minorHAnsi" w:eastAsiaTheme="minorHAnsi" w:hAnsiTheme="minorHAnsi" w:cstheme="minorBidi"/>
                                    <w:b/>
                                    <w:color w:val="auto"/>
                                    <w:spacing w:val="0"/>
                                    <w:kern w:val="0"/>
                                    <w:sz w:val="48"/>
                                    <w:szCs w:val="24"/>
                                    <w:lang w:eastAsia="en-US"/>
                                  </w:rPr>
                                  <w:alias w:val="Titel"/>
                                  <w:id w:val="-1275550102"/>
                                  <w:dataBinding w:prefixMappings="xmlns:ns0='http://schemas.openxmlformats.org/package/2006/metadata/core-properties' xmlns:ns1='http://purl.org/dc/elements/1.1/'" w:xpath="/ns0:coreProperties[1]/ns1:title[1]" w:storeItemID="{6C3C8BC8-F283-45AE-878A-BAB7291924A1}"/>
                                  <w:text/>
                                </w:sdtPr>
                                <w:sdtContent>
                                  <w:p w14:paraId="765E4F15" w14:textId="4F60DD6D" w:rsidR="00AE2669" w:rsidRDefault="00AE2669" w:rsidP="00AE2669">
                                    <w:pPr>
                                      <w:pStyle w:val="Titel"/>
                                      <w:jc w:val="right"/>
                                      <w:rPr>
                                        <w:caps/>
                                        <w:color w:val="FFFFFF" w:themeColor="background1"/>
                                        <w:sz w:val="80"/>
                                        <w:szCs w:val="80"/>
                                      </w:rPr>
                                    </w:pPr>
                                    <w:r w:rsidRPr="00AE2669">
                                      <w:rPr>
                                        <w:rFonts w:asciiTheme="minorHAnsi" w:eastAsiaTheme="minorHAnsi" w:hAnsiTheme="minorHAnsi" w:cstheme="minorBidi"/>
                                        <w:b/>
                                        <w:color w:val="auto"/>
                                        <w:spacing w:val="0"/>
                                        <w:kern w:val="0"/>
                                        <w:sz w:val="48"/>
                                        <w:szCs w:val="24"/>
                                        <w:lang w:eastAsia="en-US"/>
                                      </w:rPr>
                                      <w:t>Danske Bank og Sparekassen</w:t>
                                    </w:r>
                                    <w:r>
                                      <w:rPr>
                                        <w:rFonts w:asciiTheme="minorHAnsi" w:eastAsiaTheme="minorHAnsi" w:hAnsiTheme="minorHAnsi" w:cstheme="minorBidi"/>
                                        <w:b/>
                                        <w:color w:val="auto"/>
                                        <w:spacing w:val="0"/>
                                        <w:kern w:val="0"/>
                                        <w:sz w:val="48"/>
                                        <w:szCs w:val="24"/>
                                        <w:lang w:eastAsia="en-US"/>
                                      </w:rPr>
                                      <w:t xml:space="preserve"> </w:t>
                                    </w:r>
                                    <w:r w:rsidRPr="00AE2669">
                                      <w:rPr>
                                        <w:rFonts w:asciiTheme="minorHAnsi" w:eastAsiaTheme="minorHAnsi" w:hAnsiTheme="minorHAnsi" w:cstheme="minorBidi"/>
                                        <w:b/>
                                        <w:color w:val="auto"/>
                                        <w:spacing w:val="0"/>
                                        <w:kern w:val="0"/>
                                        <w:sz w:val="48"/>
                                        <w:szCs w:val="24"/>
                                        <w:lang w:eastAsia="en-US"/>
                                      </w:rPr>
                                      <w:t>Sjælland</w:t>
                                    </w:r>
                                    <w:r>
                                      <w:rPr>
                                        <w:rFonts w:asciiTheme="minorHAnsi" w:eastAsiaTheme="minorHAnsi" w:hAnsiTheme="minorHAnsi" w:cstheme="minorBidi"/>
                                        <w:b/>
                                        <w:color w:val="auto"/>
                                        <w:spacing w:val="0"/>
                                        <w:kern w:val="0"/>
                                        <w:sz w:val="48"/>
                                        <w:szCs w:val="24"/>
                                        <w:lang w:eastAsia="en-US"/>
                                      </w:rPr>
                                      <w:t xml:space="preserve"> </w:t>
                                    </w:r>
                                  </w:p>
                                </w:sdtContent>
                              </w:sdt>
                              <w:p w14:paraId="1B0CD1CA" w14:textId="77777777" w:rsidR="00AE2669" w:rsidRDefault="00AE2669">
                                <w:pPr>
                                  <w:spacing w:before="240"/>
                                  <w:ind w:left="720"/>
                                  <w:jc w:val="right"/>
                                  <w:rPr>
                                    <w:color w:val="FFFFFF" w:themeColor="background1"/>
                                  </w:rPr>
                                </w:pPr>
                              </w:p>
                              <w:sdt>
                                <w:sdtPr>
                                  <w:rPr>
                                    <w:b/>
                                    <w:sz w:val="44"/>
                                    <w:szCs w:val="24"/>
                                  </w:rPr>
                                  <w:alias w:val="Resume"/>
                                  <w:id w:val="-1812170092"/>
                                  <w:dataBinding w:prefixMappings="xmlns:ns0='http://schemas.microsoft.com/office/2006/coverPageProps'" w:xpath="/ns0:CoverPageProperties[1]/ns0:Abstract[1]" w:storeItemID="{55AF091B-3C7A-41E3-B477-F2FDAA23CFDA}"/>
                                  <w:text/>
                                </w:sdtPr>
                                <w:sdtContent>
                                  <w:p w14:paraId="55D90148" w14:textId="2929288D" w:rsidR="00AE2669" w:rsidRDefault="00AE2669">
                                    <w:pPr>
                                      <w:spacing w:before="240"/>
                                      <w:ind w:left="1008"/>
                                      <w:jc w:val="right"/>
                                      <w:rPr>
                                        <w:color w:val="FFFFFF" w:themeColor="background1"/>
                                      </w:rPr>
                                    </w:pPr>
                                    <w:r w:rsidRPr="00AE2669">
                                      <w:rPr>
                                        <w:b/>
                                        <w:sz w:val="44"/>
                                        <w:szCs w:val="24"/>
                                      </w:rPr>
                                      <w:t>Deres årsregnskab, indtægter og overholdelse af tilsynsdiamanten.</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63D5FC46" id="Rektangel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" fillcolor="#5b9bd5 [3204]" stroked="f">
                    <v:textbox inset="21.6pt,1in,21.6pt">
                      <w:txbxContent>
                        <w:sdt>
                          <w:sdtPr>
                            <w:rPr>
                              <w:rFonts w:asciiTheme="minorHAnsi" w:eastAsiaTheme="minorHAnsi" w:hAnsiTheme="minorHAnsi" w:cstheme="minorBidi"/>
                              <w:b/>
                              <w:color w:val="auto"/>
                              <w:spacing w:val="0"/>
                              <w:kern w:val="0"/>
                              <w:sz w:val="48"/>
                              <w:szCs w:val="24"/>
                              <w:lang w:eastAsia="en-US"/>
                            </w:rPr>
                            <w:alias w:val="Titel"/>
                            <w:id w:val="-1275550102"/>
                            <w:dataBinding w:prefixMappings="xmlns:ns0='http://schemas.openxmlformats.org/package/2006/metadata/core-properties' xmlns:ns1='http://purl.org/dc/elements/1.1/'" w:xpath="/ns0:coreProperties[1]/ns1:title[1]" w:storeItemID="{6C3C8BC8-F283-45AE-878A-BAB7291924A1}"/>
                            <w:text/>
                          </w:sdtPr>
                          <w:sdtContent>
                            <w:p w14:paraId="765E4F15" w14:textId="4F60DD6D" w:rsidR="00AE2669" w:rsidRDefault="00AE2669" w:rsidP="00AE2669">
                              <w:pPr>
                                <w:pStyle w:val="Titel"/>
                                <w:jc w:val="right"/>
                                <w:rPr>
                                  <w:caps/>
                                  <w:color w:val="FFFFFF" w:themeColor="background1"/>
                                  <w:sz w:val="80"/>
                                  <w:szCs w:val="80"/>
                                </w:rPr>
                              </w:pPr>
                              <w:r w:rsidRPr="00AE2669">
                                <w:rPr>
                                  <w:rFonts w:asciiTheme="minorHAnsi" w:eastAsiaTheme="minorHAnsi" w:hAnsiTheme="minorHAnsi" w:cstheme="minorBidi"/>
                                  <w:b/>
                                  <w:color w:val="auto"/>
                                  <w:spacing w:val="0"/>
                                  <w:kern w:val="0"/>
                                  <w:sz w:val="48"/>
                                  <w:szCs w:val="24"/>
                                  <w:lang w:eastAsia="en-US"/>
                                </w:rPr>
                                <w:t>Danske Bank og Sparekassen</w:t>
                              </w:r>
                              <w:r>
                                <w:rPr>
                                  <w:rFonts w:asciiTheme="minorHAnsi" w:eastAsiaTheme="minorHAnsi" w:hAnsiTheme="minorHAnsi" w:cstheme="minorBidi"/>
                                  <w:b/>
                                  <w:color w:val="auto"/>
                                  <w:spacing w:val="0"/>
                                  <w:kern w:val="0"/>
                                  <w:sz w:val="48"/>
                                  <w:szCs w:val="24"/>
                                  <w:lang w:eastAsia="en-US"/>
                                </w:rPr>
                                <w:t xml:space="preserve"> </w:t>
                              </w:r>
                              <w:r w:rsidRPr="00AE2669">
                                <w:rPr>
                                  <w:rFonts w:asciiTheme="minorHAnsi" w:eastAsiaTheme="minorHAnsi" w:hAnsiTheme="minorHAnsi" w:cstheme="minorBidi"/>
                                  <w:b/>
                                  <w:color w:val="auto"/>
                                  <w:spacing w:val="0"/>
                                  <w:kern w:val="0"/>
                                  <w:sz w:val="48"/>
                                  <w:szCs w:val="24"/>
                                  <w:lang w:eastAsia="en-US"/>
                                </w:rPr>
                                <w:t>Sjælland</w:t>
                              </w:r>
                              <w:r>
                                <w:rPr>
                                  <w:rFonts w:asciiTheme="minorHAnsi" w:eastAsiaTheme="minorHAnsi" w:hAnsiTheme="minorHAnsi" w:cstheme="minorBidi"/>
                                  <w:b/>
                                  <w:color w:val="auto"/>
                                  <w:spacing w:val="0"/>
                                  <w:kern w:val="0"/>
                                  <w:sz w:val="48"/>
                                  <w:szCs w:val="24"/>
                                  <w:lang w:eastAsia="en-US"/>
                                </w:rPr>
                                <w:t xml:space="preserve"> </w:t>
                              </w:r>
                            </w:p>
                          </w:sdtContent>
                        </w:sdt>
                        <w:p w14:paraId="1B0CD1CA" w14:textId="77777777" w:rsidR="00AE2669" w:rsidRDefault="00AE2669">
                          <w:pPr>
                            <w:spacing w:before="240"/>
                            <w:ind w:left="720"/>
                            <w:jc w:val="right"/>
                            <w:rPr>
                              <w:color w:val="FFFFFF" w:themeColor="background1"/>
                            </w:rPr>
                          </w:pPr>
                        </w:p>
                        <w:sdt>
                          <w:sdtPr>
                            <w:rPr>
                              <w:b/>
                              <w:sz w:val="44"/>
                              <w:szCs w:val="24"/>
                            </w:rPr>
                            <w:alias w:val="Resume"/>
                            <w:id w:val="-1812170092"/>
                            <w:dataBinding w:prefixMappings="xmlns:ns0='http://schemas.microsoft.com/office/2006/coverPageProps'" w:xpath="/ns0:CoverPageProperties[1]/ns0:Abstract[1]" w:storeItemID="{55AF091B-3C7A-41E3-B477-F2FDAA23CFDA}"/>
                            <w:text/>
                          </w:sdtPr>
                          <w:sdtContent>
                            <w:p w14:paraId="55D90148" w14:textId="2929288D" w:rsidR="00AE2669" w:rsidRDefault="00AE2669">
                              <w:pPr>
                                <w:spacing w:before="240"/>
                                <w:ind w:left="1008"/>
                                <w:jc w:val="right"/>
                                <w:rPr>
                                  <w:color w:val="FFFFFF" w:themeColor="background1"/>
                                </w:rPr>
                              </w:pPr>
                              <w:r w:rsidRPr="00AE2669">
                                <w:rPr>
                                  <w:b/>
                                  <w:sz w:val="44"/>
                                  <w:szCs w:val="24"/>
                                </w:rPr>
                                <w:t>Deres årsregnskab, indtægter og overholdelse af tilsynsdiamanten.</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4C6AD5A7" wp14:editId="39933286">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ktangel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Undertitel"/>
                                  <w:id w:val="-505288762"/>
                                  <w:dataBinding w:prefixMappings="xmlns:ns0='http://schemas.openxmlformats.org/package/2006/metadata/core-properties' xmlns:ns1='http://purl.org/dc/elements/1.1/'" w:xpath="/ns0:coreProperties[1]/ns1:subject[1]" w:storeItemID="{6C3C8BC8-F283-45AE-878A-BAB7291924A1}"/>
                                  <w:text/>
                                </w:sdtPr>
                                <w:sdtContent>
                                  <w:p w14:paraId="52A3D697" w14:textId="7B5C8C27" w:rsidR="00AE2669" w:rsidRDefault="00AE2669">
                                    <w:pPr>
                                      <w:pStyle w:val="Undertitel"/>
                                      <w:rPr>
                                        <w:rFonts w:cstheme="minorBidi"/>
                                        <w:color w:val="FFFFFF" w:themeColor="background1"/>
                                      </w:rPr>
                                    </w:pPr>
                                    <w:r>
                                      <w:rPr>
                                        <w:rFonts w:cstheme="minorBidi"/>
                                        <w:color w:val="FFFFFF" w:themeColor="background1"/>
                                      </w:rPr>
                                      <w:t>PBL 2021 Finansiering</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C6AD5A7" id="Rektangel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" fillcolor="#44546a [3215]" stroked="f" strokeweight="1pt">
                    <v:textbox inset="14.4pt,,14.4pt">
                      <w:txbxContent>
                        <w:sdt>
                          <w:sdtPr>
                            <w:rPr>
                              <w:rFonts w:cstheme="minorBidi"/>
                              <w:color w:val="FFFFFF" w:themeColor="background1"/>
                            </w:rPr>
                            <w:alias w:val="Undertitel"/>
                            <w:id w:val="-505288762"/>
                            <w:dataBinding w:prefixMappings="xmlns:ns0='http://schemas.openxmlformats.org/package/2006/metadata/core-properties' xmlns:ns1='http://purl.org/dc/elements/1.1/'" w:xpath="/ns0:coreProperties[1]/ns1:subject[1]" w:storeItemID="{6C3C8BC8-F283-45AE-878A-BAB7291924A1}"/>
                            <w:text/>
                          </w:sdtPr>
                          <w:sdtContent>
                            <w:p w14:paraId="52A3D697" w14:textId="7B5C8C27" w:rsidR="00AE2669" w:rsidRDefault="00AE2669">
                              <w:pPr>
                                <w:pStyle w:val="Undertitel"/>
                                <w:rPr>
                                  <w:rFonts w:cstheme="minorBidi"/>
                                  <w:color w:val="FFFFFF" w:themeColor="background1"/>
                                </w:rPr>
                              </w:pPr>
                              <w:r>
                                <w:rPr>
                                  <w:rFonts w:cstheme="minorBidi"/>
                                  <w:color w:val="FFFFFF" w:themeColor="background1"/>
                                </w:rPr>
                                <w:t>PBL 2021 Finansiering</w:t>
                              </w:r>
                            </w:p>
                          </w:sdtContent>
                        </w:sdt>
                      </w:txbxContent>
                    </v:textbox>
                    <w10:wrap anchorx="page" anchory="page"/>
                  </v:rect>
                </w:pict>
              </mc:Fallback>
            </mc:AlternateContent>
          </w:r>
        </w:p>
        <w:p w14:paraId="3B69C5CC" w14:textId="77777777" w:rsidR="00AE2669" w:rsidRDefault="00AE2669"/>
        <w:p w14:paraId="635B48B2" w14:textId="5F0603C3" w:rsidR="00AE2669" w:rsidRDefault="00AE2669">
          <w:pPr>
            <w:rPr>
              <w:b/>
              <w:sz w:val="48"/>
              <w:szCs w:val="24"/>
            </w:rPr>
          </w:pPr>
          <w:r>
            <w:rPr>
              <w:b/>
              <w:sz w:val="48"/>
              <w:szCs w:val="24"/>
            </w:rPr>
            <w:br w:type="page"/>
          </w:r>
        </w:p>
      </w:sdtContent>
    </w:sdt>
    <w:sdt>
      <w:sdtPr>
        <w:rPr>
          <w:rFonts w:asciiTheme="minorHAnsi" w:eastAsiaTheme="minorHAnsi" w:hAnsiTheme="minorHAnsi" w:cstheme="minorBidi"/>
          <w:color w:val="auto"/>
          <w:sz w:val="22"/>
          <w:szCs w:val="22"/>
          <w:lang w:eastAsia="en-US"/>
        </w:rPr>
        <w:id w:val="1792854956"/>
        <w:docPartObj>
          <w:docPartGallery w:val="Table of Contents"/>
          <w:docPartUnique/>
        </w:docPartObj>
      </w:sdtPr>
      <w:sdtEndPr>
        <w:rPr>
          <w:b/>
          <w:bCs/>
        </w:rPr>
      </w:sdtEndPr>
      <w:sdtContent>
        <w:p w14:paraId="70CA96F7" w14:textId="77777777" w:rsidR="00DD4244" w:rsidRDefault="00DD4244">
          <w:pPr>
            <w:pStyle w:val="Overskrift"/>
          </w:pPr>
          <w:r>
            <w:t>Indhold</w:t>
          </w:r>
          <w:r w:rsidR="00E27BF9">
            <w:t>sfortegnelse</w:t>
          </w:r>
        </w:p>
        <w:p w14:paraId="33C974A0" w14:textId="3274D270" w:rsidR="00FE30D8" w:rsidRDefault="00DD4244">
          <w:pPr>
            <w:pStyle w:val="Indholdsfortegnelse1"/>
            <w:tabs>
              <w:tab w:val="right" w:leader="dot" w:pos="9628"/>
            </w:tabs>
            <w:rPr>
              <w:rFonts w:eastAsiaTheme="minorEastAsia"/>
              <w:noProof/>
              <w:lang w:eastAsia="da-DK"/>
            </w:rPr>
          </w:pPr>
          <w:r>
            <w:rPr>
              <w:b/>
              <w:bCs/>
            </w:rPr>
            <w:fldChar w:fldCharType="begin"/>
          </w:r>
          <w:r>
            <w:rPr>
              <w:b/>
              <w:bCs/>
            </w:rPr>
            <w:instrText xml:space="preserve"> TOC \o "1-3" \h \z \u </w:instrText>
          </w:r>
          <w:r>
            <w:rPr>
              <w:b/>
              <w:bCs/>
            </w:rPr>
            <w:fldChar w:fldCharType="separate"/>
          </w:r>
          <w:hyperlink w:anchor="_Toc71097335" w:history="1">
            <w:r w:rsidR="00FE30D8" w:rsidRPr="001B17CD">
              <w:rPr>
                <w:rStyle w:val="Hyperlink"/>
                <w:noProof/>
              </w:rPr>
              <w:t>1.0 Banker i Danmark</w:t>
            </w:r>
            <w:r w:rsidR="00FE30D8">
              <w:rPr>
                <w:noProof/>
                <w:webHidden/>
              </w:rPr>
              <w:tab/>
            </w:r>
            <w:r w:rsidR="00FE30D8">
              <w:rPr>
                <w:noProof/>
                <w:webHidden/>
              </w:rPr>
              <w:fldChar w:fldCharType="begin"/>
            </w:r>
            <w:r w:rsidR="00FE30D8">
              <w:rPr>
                <w:noProof/>
                <w:webHidden/>
              </w:rPr>
              <w:instrText xml:space="preserve"> PAGEREF _Toc71097335 \h </w:instrText>
            </w:r>
            <w:r w:rsidR="00FE30D8">
              <w:rPr>
                <w:noProof/>
                <w:webHidden/>
              </w:rPr>
            </w:r>
            <w:r w:rsidR="00FE30D8">
              <w:rPr>
                <w:noProof/>
                <w:webHidden/>
              </w:rPr>
              <w:fldChar w:fldCharType="separate"/>
            </w:r>
            <w:r w:rsidR="00FE30D8">
              <w:rPr>
                <w:noProof/>
                <w:webHidden/>
              </w:rPr>
              <w:t>2</w:t>
            </w:r>
            <w:r w:rsidR="00FE30D8">
              <w:rPr>
                <w:noProof/>
                <w:webHidden/>
              </w:rPr>
              <w:fldChar w:fldCharType="end"/>
            </w:r>
          </w:hyperlink>
        </w:p>
        <w:p w14:paraId="528BF27E" w14:textId="556F64E8" w:rsidR="00FE30D8" w:rsidRDefault="00FE30D8">
          <w:pPr>
            <w:pStyle w:val="Indholdsfortegnelse1"/>
            <w:tabs>
              <w:tab w:val="right" w:leader="dot" w:pos="9628"/>
            </w:tabs>
            <w:rPr>
              <w:rFonts w:eastAsiaTheme="minorEastAsia"/>
              <w:noProof/>
              <w:lang w:eastAsia="da-DK"/>
            </w:rPr>
          </w:pPr>
          <w:hyperlink w:anchor="_Toc71097336" w:history="1">
            <w:r w:rsidRPr="001B17CD">
              <w:rPr>
                <w:rStyle w:val="Hyperlink"/>
                <w:noProof/>
              </w:rPr>
              <w:t>2.0 Danske Bank - tilsynsdiamanten</w:t>
            </w:r>
            <w:r>
              <w:rPr>
                <w:noProof/>
                <w:webHidden/>
              </w:rPr>
              <w:tab/>
            </w:r>
            <w:r>
              <w:rPr>
                <w:noProof/>
                <w:webHidden/>
              </w:rPr>
              <w:fldChar w:fldCharType="begin"/>
            </w:r>
            <w:r>
              <w:rPr>
                <w:noProof/>
                <w:webHidden/>
              </w:rPr>
              <w:instrText xml:space="preserve"> PAGEREF _Toc71097336 \h </w:instrText>
            </w:r>
            <w:r>
              <w:rPr>
                <w:noProof/>
                <w:webHidden/>
              </w:rPr>
            </w:r>
            <w:r>
              <w:rPr>
                <w:noProof/>
                <w:webHidden/>
              </w:rPr>
              <w:fldChar w:fldCharType="separate"/>
            </w:r>
            <w:r>
              <w:rPr>
                <w:noProof/>
                <w:webHidden/>
              </w:rPr>
              <w:t>3</w:t>
            </w:r>
            <w:r>
              <w:rPr>
                <w:noProof/>
                <w:webHidden/>
              </w:rPr>
              <w:fldChar w:fldCharType="end"/>
            </w:r>
          </w:hyperlink>
        </w:p>
        <w:p w14:paraId="5DE2B9D7" w14:textId="7D831286" w:rsidR="00FE30D8" w:rsidRDefault="00FE30D8">
          <w:pPr>
            <w:pStyle w:val="Indholdsfortegnelse2"/>
            <w:tabs>
              <w:tab w:val="right" w:leader="dot" w:pos="9628"/>
            </w:tabs>
            <w:rPr>
              <w:rFonts w:eastAsiaTheme="minorEastAsia"/>
              <w:noProof/>
              <w:lang w:eastAsia="da-DK"/>
            </w:rPr>
          </w:pPr>
          <w:hyperlink w:anchor="_Toc71097337" w:history="1">
            <w:r w:rsidRPr="001B17CD">
              <w:rPr>
                <w:rStyle w:val="Hyperlink"/>
                <w:noProof/>
              </w:rPr>
              <w:t>2.1 Danske Bank - årsregnskab</w:t>
            </w:r>
            <w:r>
              <w:rPr>
                <w:noProof/>
                <w:webHidden/>
              </w:rPr>
              <w:tab/>
            </w:r>
            <w:r>
              <w:rPr>
                <w:noProof/>
                <w:webHidden/>
              </w:rPr>
              <w:fldChar w:fldCharType="begin"/>
            </w:r>
            <w:r>
              <w:rPr>
                <w:noProof/>
                <w:webHidden/>
              </w:rPr>
              <w:instrText xml:space="preserve"> PAGEREF _Toc71097337 \h </w:instrText>
            </w:r>
            <w:r>
              <w:rPr>
                <w:noProof/>
                <w:webHidden/>
              </w:rPr>
            </w:r>
            <w:r>
              <w:rPr>
                <w:noProof/>
                <w:webHidden/>
              </w:rPr>
              <w:fldChar w:fldCharType="separate"/>
            </w:r>
            <w:r>
              <w:rPr>
                <w:noProof/>
                <w:webHidden/>
              </w:rPr>
              <w:t>4</w:t>
            </w:r>
            <w:r>
              <w:rPr>
                <w:noProof/>
                <w:webHidden/>
              </w:rPr>
              <w:fldChar w:fldCharType="end"/>
            </w:r>
          </w:hyperlink>
        </w:p>
        <w:p w14:paraId="5E0066CA" w14:textId="13FC88F4" w:rsidR="00FE30D8" w:rsidRDefault="00FE30D8">
          <w:pPr>
            <w:pStyle w:val="Indholdsfortegnelse1"/>
            <w:tabs>
              <w:tab w:val="right" w:leader="dot" w:pos="9628"/>
            </w:tabs>
            <w:rPr>
              <w:rFonts w:eastAsiaTheme="minorEastAsia"/>
              <w:noProof/>
              <w:lang w:eastAsia="da-DK"/>
            </w:rPr>
          </w:pPr>
          <w:hyperlink w:anchor="_Toc71097338" w:history="1">
            <w:r w:rsidRPr="001B17CD">
              <w:rPr>
                <w:rStyle w:val="Hyperlink"/>
                <w:noProof/>
              </w:rPr>
              <w:t>3.0 Sparekassen Sjælland og Fyn, tilsynsdiamanten</w:t>
            </w:r>
            <w:r>
              <w:rPr>
                <w:noProof/>
                <w:webHidden/>
              </w:rPr>
              <w:tab/>
            </w:r>
            <w:r>
              <w:rPr>
                <w:noProof/>
                <w:webHidden/>
              </w:rPr>
              <w:fldChar w:fldCharType="begin"/>
            </w:r>
            <w:r>
              <w:rPr>
                <w:noProof/>
                <w:webHidden/>
              </w:rPr>
              <w:instrText xml:space="preserve"> PAGEREF _Toc71097338 \h </w:instrText>
            </w:r>
            <w:r>
              <w:rPr>
                <w:noProof/>
                <w:webHidden/>
              </w:rPr>
            </w:r>
            <w:r>
              <w:rPr>
                <w:noProof/>
                <w:webHidden/>
              </w:rPr>
              <w:fldChar w:fldCharType="separate"/>
            </w:r>
            <w:r>
              <w:rPr>
                <w:noProof/>
                <w:webHidden/>
              </w:rPr>
              <w:t>6</w:t>
            </w:r>
            <w:r>
              <w:rPr>
                <w:noProof/>
                <w:webHidden/>
              </w:rPr>
              <w:fldChar w:fldCharType="end"/>
            </w:r>
          </w:hyperlink>
        </w:p>
        <w:p w14:paraId="50742C9F" w14:textId="34A8EDAA" w:rsidR="00FE30D8" w:rsidRDefault="00FE30D8">
          <w:pPr>
            <w:pStyle w:val="Indholdsfortegnelse2"/>
            <w:tabs>
              <w:tab w:val="right" w:leader="dot" w:pos="9628"/>
            </w:tabs>
            <w:rPr>
              <w:rFonts w:eastAsiaTheme="minorEastAsia"/>
              <w:noProof/>
              <w:lang w:eastAsia="da-DK"/>
            </w:rPr>
          </w:pPr>
          <w:hyperlink w:anchor="_Toc71097339" w:history="1">
            <w:r w:rsidRPr="001B17CD">
              <w:rPr>
                <w:rStyle w:val="Hyperlink"/>
                <w:noProof/>
              </w:rPr>
              <w:t>3.1 Årsregnskab Sparekassen Sjælland og Fyn</w:t>
            </w:r>
            <w:r>
              <w:rPr>
                <w:noProof/>
                <w:webHidden/>
              </w:rPr>
              <w:tab/>
            </w:r>
            <w:r>
              <w:rPr>
                <w:noProof/>
                <w:webHidden/>
              </w:rPr>
              <w:fldChar w:fldCharType="begin"/>
            </w:r>
            <w:r>
              <w:rPr>
                <w:noProof/>
                <w:webHidden/>
              </w:rPr>
              <w:instrText xml:space="preserve"> PAGEREF _Toc71097339 \h </w:instrText>
            </w:r>
            <w:r>
              <w:rPr>
                <w:noProof/>
                <w:webHidden/>
              </w:rPr>
            </w:r>
            <w:r>
              <w:rPr>
                <w:noProof/>
                <w:webHidden/>
              </w:rPr>
              <w:fldChar w:fldCharType="separate"/>
            </w:r>
            <w:r>
              <w:rPr>
                <w:noProof/>
                <w:webHidden/>
              </w:rPr>
              <w:t>7</w:t>
            </w:r>
            <w:r>
              <w:rPr>
                <w:noProof/>
                <w:webHidden/>
              </w:rPr>
              <w:fldChar w:fldCharType="end"/>
            </w:r>
          </w:hyperlink>
        </w:p>
        <w:p w14:paraId="13E0B66B" w14:textId="69435087" w:rsidR="00FE30D8" w:rsidRDefault="00FE30D8">
          <w:pPr>
            <w:pStyle w:val="Indholdsfortegnelse1"/>
            <w:tabs>
              <w:tab w:val="right" w:leader="dot" w:pos="9628"/>
            </w:tabs>
            <w:rPr>
              <w:rFonts w:eastAsiaTheme="minorEastAsia"/>
              <w:noProof/>
              <w:lang w:eastAsia="da-DK"/>
            </w:rPr>
          </w:pPr>
          <w:hyperlink w:anchor="_Toc71097340" w:history="1">
            <w:r w:rsidRPr="001B17CD">
              <w:rPr>
                <w:rStyle w:val="Hyperlink"/>
                <w:noProof/>
              </w:rPr>
              <w:t xml:space="preserve">4.0 Sammenfatning Danske Bank </w:t>
            </w:r>
            <w:r w:rsidRPr="001B17CD">
              <w:rPr>
                <w:rStyle w:val="Hyperlink"/>
                <w:noProof/>
              </w:rPr>
              <w:sym w:font="Wingdings" w:char="F0F3"/>
            </w:r>
            <w:r w:rsidRPr="001B17CD">
              <w:rPr>
                <w:rStyle w:val="Hyperlink"/>
                <w:noProof/>
              </w:rPr>
              <w:t xml:space="preserve"> Sparekassen Sjælland og Fyn</w:t>
            </w:r>
            <w:r>
              <w:rPr>
                <w:noProof/>
                <w:webHidden/>
              </w:rPr>
              <w:tab/>
            </w:r>
            <w:r>
              <w:rPr>
                <w:noProof/>
                <w:webHidden/>
              </w:rPr>
              <w:fldChar w:fldCharType="begin"/>
            </w:r>
            <w:r>
              <w:rPr>
                <w:noProof/>
                <w:webHidden/>
              </w:rPr>
              <w:instrText xml:space="preserve"> PAGEREF _Toc71097340 \h </w:instrText>
            </w:r>
            <w:r>
              <w:rPr>
                <w:noProof/>
                <w:webHidden/>
              </w:rPr>
            </w:r>
            <w:r>
              <w:rPr>
                <w:noProof/>
                <w:webHidden/>
              </w:rPr>
              <w:fldChar w:fldCharType="separate"/>
            </w:r>
            <w:r>
              <w:rPr>
                <w:noProof/>
                <w:webHidden/>
              </w:rPr>
              <w:t>10</w:t>
            </w:r>
            <w:r>
              <w:rPr>
                <w:noProof/>
                <w:webHidden/>
              </w:rPr>
              <w:fldChar w:fldCharType="end"/>
            </w:r>
          </w:hyperlink>
        </w:p>
        <w:p w14:paraId="2EC2D481" w14:textId="644B9B53" w:rsidR="00FE30D8" w:rsidRDefault="00FE30D8">
          <w:pPr>
            <w:pStyle w:val="Indholdsfortegnelse1"/>
            <w:tabs>
              <w:tab w:val="right" w:leader="dot" w:pos="9628"/>
            </w:tabs>
            <w:rPr>
              <w:rFonts w:eastAsiaTheme="minorEastAsia"/>
              <w:noProof/>
              <w:lang w:eastAsia="da-DK"/>
            </w:rPr>
          </w:pPr>
          <w:hyperlink w:anchor="_Toc71097341" w:history="1">
            <w:r w:rsidRPr="001B17CD">
              <w:rPr>
                <w:rStyle w:val="Hyperlink"/>
                <w:noProof/>
              </w:rPr>
              <w:t>5.0 Analyse af solvens for banker</w:t>
            </w:r>
            <w:r>
              <w:rPr>
                <w:noProof/>
                <w:webHidden/>
              </w:rPr>
              <w:tab/>
            </w:r>
            <w:r>
              <w:rPr>
                <w:noProof/>
                <w:webHidden/>
              </w:rPr>
              <w:fldChar w:fldCharType="begin"/>
            </w:r>
            <w:r>
              <w:rPr>
                <w:noProof/>
                <w:webHidden/>
              </w:rPr>
              <w:instrText xml:space="preserve"> PAGEREF _Toc71097341 \h </w:instrText>
            </w:r>
            <w:r>
              <w:rPr>
                <w:noProof/>
                <w:webHidden/>
              </w:rPr>
            </w:r>
            <w:r>
              <w:rPr>
                <w:noProof/>
                <w:webHidden/>
              </w:rPr>
              <w:fldChar w:fldCharType="separate"/>
            </w:r>
            <w:r>
              <w:rPr>
                <w:noProof/>
                <w:webHidden/>
              </w:rPr>
              <w:t>11</w:t>
            </w:r>
            <w:r>
              <w:rPr>
                <w:noProof/>
                <w:webHidden/>
              </w:rPr>
              <w:fldChar w:fldCharType="end"/>
            </w:r>
          </w:hyperlink>
        </w:p>
        <w:p w14:paraId="34FE599B" w14:textId="25AE88F9" w:rsidR="00DD4244" w:rsidRDefault="00DD4244">
          <w:r>
            <w:rPr>
              <w:b/>
              <w:bCs/>
            </w:rPr>
            <w:fldChar w:fldCharType="end"/>
          </w:r>
        </w:p>
      </w:sdtContent>
    </w:sdt>
    <w:p w14:paraId="1CC06135" w14:textId="77777777" w:rsidR="00DD4244" w:rsidRDefault="00DD4244">
      <w:pPr>
        <w:rPr>
          <w:sz w:val="72"/>
        </w:rPr>
      </w:pPr>
    </w:p>
    <w:p w14:paraId="1B5DF630" w14:textId="77777777" w:rsidR="00DA6DB9" w:rsidRDefault="00DA6DB9" w:rsidP="00DD4244">
      <w:pPr>
        <w:ind w:firstLine="1304"/>
        <w:rPr>
          <w:sz w:val="32"/>
        </w:rPr>
      </w:pPr>
      <w:r>
        <w:rPr>
          <w:sz w:val="32"/>
        </w:rPr>
        <w:t xml:space="preserve"> </w:t>
      </w:r>
    </w:p>
    <w:p w14:paraId="7EBA514C" w14:textId="77777777" w:rsidR="00DA6DB9" w:rsidRDefault="00DA6DB9">
      <w:pPr>
        <w:rPr>
          <w:sz w:val="32"/>
        </w:rPr>
      </w:pPr>
    </w:p>
    <w:p w14:paraId="1D3B087A" w14:textId="77777777" w:rsidR="00FF1736" w:rsidRDefault="00FF1736">
      <w:pPr>
        <w:rPr>
          <w:rFonts w:asciiTheme="majorHAnsi" w:eastAsiaTheme="majorEastAsia" w:hAnsiTheme="majorHAnsi" w:cstheme="majorBidi"/>
          <w:color w:val="2E74B5" w:themeColor="accent1" w:themeShade="BF"/>
          <w:sz w:val="26"/>
          <w:szCs w:val="26"/>
        </w:rPr>
      </w:pPr>
      <w:r>
        <w:br w:type="page"/>
      </w:r>
    </w:p>
    <w:p w14:paraId="07D325DC" w14:textId="3368EF1F" w:rsidR="00FF1736" w:rsidRPr="006A4C52" w:rsidRDefault="006A4C52" w:rsidP="006A4C52">
      <w:pPr>
        <w:pStyle w:val="Overskrift1"/>
      </w:pPr>
      <w:bookmarkStart w:id="0" w:name="_Toc71097335"/>
      <w:r w:rsidRPr="006A4C52">
        <w:lastRenderedPageBreak/>
        <w:t xml:space="preserve">1.0 </w:t>
      </w:r>
      <w:r w:rsidR="00342C88" w:rsidRPr="006A4C52">
        <w:t>B</w:t>
      </w:r>
      <w:r w:rsidR="00FF1736" w:rsidRPr="006A4C52">
        <w:t>anker i Danmark</w:t>
      </w:r>
      <w:bookmarkEnd w:id="0"/>
    </w:p>
    <w:p w14:paraId="5EDBE2F5" w14:textId="7F4618E6" w:rsidR="00B17E07" w:rsidRDefault="00B17E07" w:rsidP="00B17E07"/>
    <w:p w14:paraId="35FB0C87" w14:textId="77777777" w:rsidR="00B17E07" w:rsidRDefault="00B17E07" w:rsidP="00FC5DD2">
      <w:r>
        <w:t>Banker i Danmark</w:t>
      </w:r>
    </w:p>
    <w:p w14:paraId="7B1C6245" w14:textId="1513C859" w:rsidR="00B17E07" w:rsidRDefault="00B17E07" w:rsidP="00B17E07">
      <w:pPr>
        <w:pStyle w:val="NormalWeb"/>
        <w:spacing w:after="150"/>
        <w:rPr>
          <w:rFonts w:ascii="&amp;quot" w:hAnsi="&amp;quot"/>
          <w:color w:val="335B77"/>
          <w:sz w:val="23"/>
          <w:szCs w:val="23"/>
        </w:rPr>
      </w:pPr>
      <w:r>
        <w:rPr>
          <w:rFonts w:ascii="&amp;quot" w:hAnsi="&amp;quot"/>
          <w:color w:val="335B77"/>
          <w:sz w:val="23"/>
          <w:szCs w:val="23"/>
        </w:rPr>
        <w:t xml:space="preserve">Der findes i dag ca. 65 banker i Danmark. Det er de ”store banker”, der klarer sig bedst, når man ser på de økonomiske nøgletal. Ser man på det generelle bankmarked i Danmark, så går det rigtig godt for de danske banker. Resultatet for sektorens samlede resultat for første halvår 2017, viste en stigning på 40% sammenlignet med året forinden. Siden er indtjeningen kommet under pres blandt andet udløst ved de negative renter, der sætter spørgsmålstegn ved hele den traditionelle forretningsmodel. Konverteringsbølger i 2018-2019 har dog været med til at sikre stor aktivitet samt indtjening på tværs af bankerne i Danmark. Leder du efter den bedste bank, kan du se undersøgelsen i vores artikel om den </w:t>
      </w:r>
      <w:hyperlink r:id="rId9" w:history="1">
        <w:r>
          <w:rPr>
            <w:rStyle w:val="Hyperlink"/>
            <w:rFonts w:ascii="&amp;quot" w:eastAsiaTheme="majorEastAsia" w:hAnsi="&amp;quot"/>
            <w:color w:val="00CCFF"/>
            <w:sz w:val="23"/>
            <w:szCs w:val="23"/>
          </w:rPr>
          <w:t>bedste bank</w:t>
        </w:r>
      </w:hyperlink>
      <w:r>
        <w:rPr>
          <w:rFonts w:ascii="&amp;quot" w:hAnsi="&amp;quot"/>
          <w:color w:val="335B77"/>
          <w:sz w:val="23"/>
          <w:szCs w:val="23"/>
        </w:rPr>
        <w:t>.</w:t>
      </w:r>
    </w:p>
    <w:p w14:paraId="0AF2D8FF" w14:textId="1A241E12" w:rsidR="00B17E07" w:rsidRDefault="00B17E07" w:rsidP="00B17E07">
      <w:pPr>
        <w:pStyle w:val="NormalWeb"/>
        <w:spacing w:after="150"/>
        <w:rPr>
          <w:rFonts w:ascii="&amp;quot" w:hAnsi="&amp;quot"/>
          <w:color w:val="335B77"/>
          <w:sz w:val="23"/>
          <w:szCs w:val="23"/>
        </w:rPr>
      </w:pPr>
      <w:r>
        <w:rPr>
          <w:rFonts w:ascii="&amp;quot" w:hAnsi="&amp;quot"/>
          <w:color w:val="335B77"/>
          <w:sz w:val="23"/>
          <w:szCs w:val="23"/>
        </w:rPr>
        <w:t>Der findes mange forskellige banker, sparekasser og andelskasser i Danmark. Her kan du se listen med alle banker. Klik dig ind på en bank for at se en beskrivelse af banken samt nyttig information og links.</w:t>
      </w:r>
    </w:p>
    <w:p w14:paraId="15486F2B" w14:textId="77777777" w:rsidR="00B17E07" w:rsidRDefault="00FE30D8" w:rsidP="00B17E07">
      <w:hyperlink r:id="rId10" w:history="1">
        <w:r w:rsidR="00B17E07" w:rsidRPr="00B17E07">
          <w:rPr>
            <w:rStyle w:val="Hyperlink"/>
          </w:rPr>
          <w:t>Findbank.dk</w:t>
        </w:r>
      </w:hyperlink>
    </w:p>
    <w:p w14:paraId="3F361D53" w14:textId="77777777" w:rsidR="00B17E07" w:rsidRPr="00B17E07" w:rsidRDefault="00B17E07" w:rsidP="00B17E07"/>
    <w:p w14:paraId="64A7014B" w14:textId="508E2791" w:rsidR="00FF1736" w:rsidRDefault="00FF1736" w:rsidP="00FF1736">
      <w:r>
        <w:rPr>
          <w:noProof/>
        </w:rPr>
        <w:drawing>
          <wp:inline distT="0" distB="0" distL="0" distR="0" wp14:anchorId="1AD4A21C" wp14:editId="6A5BDD9E">
            <wp:extent cx="3662412" cy="2659220"/>
            <wp:effectExtent l="0" t="0" r="0" b="825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3929" cy="2667582"/>
                    </a:xfrm>
                    <a:prstGeom prst="rect">
                      <a:avLst/>
                    </a:prstGeom>
                  </pic:spPr>
                </pic:pic>
              </a:graphicData>
            </a:graphic>
          </wp:inline>
        </w:drawing>
      </w:r>
    </w:p>
    <w:p w14:paraId="09B46105" w14:textId="5387D44A" w:rsidR="00B17E07" w:rsidRDefault="00FE30D8" w:rsidP="00FF1736">
      <w:hyperlink r:id="rId12" w:history="1">
        <w:r w:rsidR="00B17E07" w:rsidRPr="00B17E07">
          <w:rPr>
            <w:rStyle w:val="Hyperlink"/>
          </w:rPr>
          <w:t>https://da.wikipedia.org</w:t>
        </w:r>
      </w:hyperlink>
    </w:p>
    <w:p w14:paraId="1CE80B6D" w14:textId="21FD6ACC" w:rsidR="00703779" w:rsidRDefault="006A4C52" w:rsidP="00FF1736">
      <w:hyperlink r:id="rId13" w:history="1">
        <w:r w:rsidR="00703779" w:rsidRPr="00703779">
          <w:rPr>
            <w:rStyle w:val="Hyperlink"/>
          </w:rPr>
          <w:t>https://tankpenge.dk/banker-danmark/</w:t>
        </w:r>
      </w:hyperlink>
    </w:p>
    <w:p w14:paraId="78DAFFA5" w14:textId="0D6C2546" w:rsidR="00094CAC" w:rsidRDefault="00FE30D8" w:rsidP="00FF1736">
      <w:hyperlink r:id="rId14" w:history="1">
        <w:r w:rsidR="00094CAC" w:rsidRPr="00094CAC">
          <w:rPr>
            <w:rStyle w:val="Hyperlink"/>
          </w:rPr>
          <w:t>finanstilsynet</w:t>
        </w:r>
      </w:hyperlink>
    </w:p>
    <w:p w14:paraId="7F70E0A9" w14:textId="77777777" w:rsidR="00703779" w:rsidRDefault="00703779" w:rsidP="00FF1736"/>
    <w:p w14:paraId="75E9865D" w14:textId="77777777" w:rsidR="00FF1736" w:rsidRPr="00C32F2F" w:rsidRDefault="00FF1736" w:rsidP="00FF1736">
      <w:r>
        <w:t>Nordea er ikke med, da den er registreret med hovedsæde i Helsinki.</w:t>
      </w:r>
    </w:p>
    <w:p w14:paraId="1AF44C51" w14:textId="7324929D" w:rsidR="00B17E07" w:rsidRDefault="00FF1736">
      <w:r>
        <w:t>Målet er at undersøge Danske Bank</w:t>
      </w:r>
      <w:r w:rsidR="001F3F34">
        <w:t xml:space="preserve"> kontra Sparekassen Sjælland &amp; Fyn</w:t>
      </w:r>
      <w:r>
        <w:t xml:space="preserve">, ud fra tilsynsdiamanten, </w:t>
      </w:r>
      <w:r w:rsidR="001F3F34">
        <w:t xml:space="preserve">deres årsregnskab for 2020 og </w:t>
      </w:r>
      <w:r>
        <w:t xml:space="preserve">lave en komparativ analyse </w:t>
      </w:r>
      <w:r w:rsidR="001F3F34">
        <w:t>for at finde forskelligheder</w:t>
      </w:r>
      <w:r>
        <w:t>.</w:t>
      </w:r>
      <w:r w:rsidR="001F3F34">
        <w:t xml:space="preserve"> Overholder begge banker kravene i tilsynsdiamanten? Hvor kommer deres indtægter fra? Osv.</w:t>
      </w:r>
    </w:p>
    <w:p w14:paraId="3299C7AE" w14:textId="77777777" w:rsidR="00B17E07" w:rsidRDefault="00B17E07"/>
    <w:p w14:paraId="0B074A19" w14:textId="1DE9AECD" w:rsidR="00306AC9" w:rsidRDefault="00FF1736" w:rsidP="00DD4244">
      <w:pPr>
        <w:pStyle w:val="Overskrift1"/>
      </w:pPr>
      <w:bookmarkStart w:id="1" w:name="_Toc71097336"/>
      <w:r>
        <w:lastRenderedPageBreak/>
        <w:t>2</w:t>
      </w:r>
      <w:r w:rsidR="00C03F8C">
        <w:t xml:space="preserve">.0 </w:t>
      </w:r>
      <w:r>
        <w:t>Danske Bank - t</w:t>
      </w:r>
      <w:r w:rsidR="00306AC9">
        <w:t>ilsynsdiamanten</w:t>
      </w:r>
      <w:bookmarkEnd w:id="1"/>
    </w:p>
    <w:p w14:paraId="28E3BCD9" w14:textId="77777777" w:rsidR="00342C88" w:rsidRPr="00342C88" w:rsidRDefault="00342C88" w:rsidP="00342C88"/>
    <w:p w14:paraId="73D7C601" w14:textId="63571102" w:rsidR="004B1F81" w:rsidRDefault="00306AC9" w:rsidP="00342C88">
      <w:r>
        <w:rPr>
          <w:noProof/>
        </w:rPr>
        <w:drawing>
          <wp:inline distT="0" distB="0" distL="0" distR="0" wp14:anchorId="21AD61BA" wp14:editId="1A8E621F">
            <wp:extent cx="6120130" cy="1598295"/>
            <wp:effectExtent l="0" t="0" r="0" b="190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598295"/>
                    </a:xfrm>
                    <a:prstGeom prst="rect">
                      <a:avLst/>
                    </a:prstGeom>
                  </pic:spPr>
                </pic:pic>
              </a:graphicData>
            </a:graphic>
          </wp:inline>
        </w:drawing>
      </w:r>
      <w:r w:rsidR="002B5F1E">
        <w:t xml:space="preserve"> </w:t>
      </w:r>
    </w:p>
    <w:p w14:paraId="01C3DA6A" w14:textId="454CCA7C" w:rsidR="007D5DD7" w:rsidRDefault="00FE30D8" w:rsidP="00342C88">
      <w:pPr>
        <w:rPr>
          <w:rStyle w:val="Hyperlink"/>
        </w:rPr>
      </w:pPr>
      <w:hyperlink r:id="rId16" w:history="1">
        <w:r w:rsidR="00306AC9" w:rsidRPr="00306AC9">
          <w:rPr>
            <w:rStyle w:val="Hyperlink"/>
          </w:rPr>
          <w:t xml:space="preserve">Danske </w:t>
        </w:r>
        <w:r w:rsidR="00306AC9">
          <w:rPr>
            <w:rStyle w:val="Hyperlink"/>
          </w:rPr>
          <w:t>B</w:t>
        </w:r>
        <w:r w:rsidR="00306AC9" w:rsidRPr="00306AC9">
          <w:rPr>
            <w:rStyle w:val="Hyperlink"/>
          </w:rPr>
          <w:t>an</w:t>
        </w:r>
        <w:r w:rsidR="00661CE7">
          <w:rPr>
            <w:rStyle w:val="Hyperlink"/>
          </w:rPr>
          <w:t>k tilsynsdiamant</w:t>
        </w:r>
      </w:hyperlink>
    </w:p>
    <w:p w14:paraId="717F98F1" w14:textId="77777777" w:rsidR="00FE30D8" w:rsidRDefault="00FE30D8" w:rsidP="00FE30D8">
      <w:pPr>
        <w:pStyle w:val="NormalWeb"/>
        <w:shd w:val="clear" w:color="auto" w:fill="A4B6E0"/>
        <w:spacing w:after="240"/>
        <w:rPr>
          <w:rFonts w:ascii="Arial" w:hAnsi="Arial" w:cs="Arial"/>
          <w:color w:val="333333"/>
          <w:sz w:val="19"/>
          <w:szCs w:val="19"/>
        </w:rPr>
      </w:pPr>
      <w:r>
        <w:rPr>
          <w:rStyle w:val="Strk"/>
          <w:rFonts w:ascii="Arial" w:eastAsiaTheme="majorEastAsia" w:hAnsi="Arial" w:cs="Arial"/>
          <w:color w:val="333333"/>
          <w:sz w:val="19"/>
          <w:szCs w:val="19"/>
        </w:rPr>
        <w:t>Summen af store engagementer</w:t>
      </w:r>
      <w:r>
        <w:rPr>
          <w:rFonts w:ascii="Arial" w:hAnsi="Arial" w:cs="Arial"/>
          <w:color w:val="333333"/>
          <w:sz w:val="19"/>
          <w:szCs w:val="19"/>
        </w:rPr>
        <w:t> skal være mindre end 175%, hvilket betyder, at de 20 største eksponeringer, dvs. udlån skal udgøre mindre end 175% af pengeinstituttets kernekapital.</w:t>
      </w:r>
    </w:p>
    <w:p w14:paraId="471B56F4" w14:textId="77777777" w:rsidR="00FE30D8" w:rsidRDefault="00FE30D8" w:rsidP="00FE30D8">
      <w:pPr>
        <w:pStyle w:val="NormalWeb"/>
        <w:shd w:val="clear" w:color="auto" w:fill="A4B6E0"/>
        <w:spacing w:after="240"/>
        <w:rPr>
          <w:rFonts w:ascii="Arial" w:hAnsi="Arial" w:cs="Arial"/>
          <w:color w:val="333333"/>
          <w:sz w:val="19"/>
          <w:szCs w:val="19"/>
        </w:rPr>
      </w:pPr>
      <w:r>
        <w:rPr>
          <w:rStyle w:val="Strk"/>
          <w:rFonts w:ascii="Arial" w:eastAsiaTheme="majorEastAsia" w:hAnsi="Arial" w:cs="Arial"/>
          <w:color w:val="333333"/>
          <w:sz w:val="19"/>
          <w:szCs w:val="19"/>
        </w:rPr>
        <w:t>Udlånsvæksten </w:t>
      </w:r>
      <w:r>
        <w:rPr>
          <w:rFonts w:ascii="Arial" w:hAnsi="Arial" w:cs="Arial"/>
          <w:color w:val="333333"/>
          <w:sz w:val="19"/>
          <w:szCs w:val="19"/>
        </w:rPr>
        <w:t>målt fra år til år skal være mindre end 20%.</w:t>
      </w:r>
    </w:p>
    <w:p w14:paraId="7EE39CCA" w14:textId="77777777" w:rsidR="00FE30D8" w:rsidRDefault="00FE30D8" w:rsidP="00FE30D8">
      <w:pPr>
        <w:pStyle w:val="NormalWeb"/>
        <w:shd w:val="clear" w:color="auto" w:fill="A4B6E0"/>
        <w:spacing w:after="240"/>
        <w:rPr>
          <w:rFonts w:ascii="Arial" w:hAnsi="Arial" w:cs="Arial"/>
          <w:color w:val="333333"/>
          <w:sz w:val="19"/>
          <w:szCs w:val="19"/>
        </w:rPr>
      </w:pPr>
      <w:r>
        <w:rPr>
          <w:rStyle w:val="Strk"/>
          <w:rFonts w:ascii="Arial" w:eastAsiaTheme="majorEastAsia" w:hAnsi="Arial" w:cs="Arial"/>
          <w:color w:val="333333"/>
          <w:sz w:val="19"/>
          <w:szCs w:val="19"/>
        </w:rPr>
        <w:t>Ejendomseksponeringer </w:t>
      </w:r>
      <w:r>
        <w:rPr>
          <w:rFonts w:ascii="Arial" w:hAnsi="Arial" w:cs="Arial"/>
          <w:color w:val="333333"/>
          <w:sz w:val="19"/>
          <w:szCs w:val="19"/>
        </w:rPr>
        <w:t>skal udgøre mindre end 25% af pengeinstituttets samlede udlån. Ejendomseksponeringer er udlån til brancherne ”fast ejendom” eller ”igangværende byggeprojekter”.</w:t>
      </w:r>
    </w:p>
    <w:p w14:paraId="7D02DC87" w14:textId="77777777" w:rsidR="00FE30D8" w:rsidRDefault="00FE30D8" w:rsidP="00FE30D8">
      <w:pPr>
        <w:pStyle w:val="NormalWeb"/>
        <w:shd w:val="clear" w:color="auto" w:fill="A4B6E0"/>
        <w:spacing w:after="240"/>
        <w:rPr>
          <w:rFonts w:ascii="Arial" w:hAnsi="Arial" w:cs="Arial"/>
          <w:color w:val="333333"/>
          <w:sz w:val="19"/>
          <w:szCs w:val="19"/>
        </w:rPr>
      </w:pPr>
      <w:r>
        <w:rPr>
          <w:rStyle w:val="Strk"/>
          <w:rFonts w:ascii="Arial" w:eastAsiaTheme="majorEastAsia" w:hAnsi="Arial" w:cs="Arial"/>
          <w:color w:val="333333"/>
          <w:sz w:val="19"/>
          <w:szCs w:val="19"/>
        </w:rPr>
        <w:t>Likviditetspejlemærke </w:t>
      </w:r>
      <w:r>
        <w:rPr>
          <w:rFonts w:ascii="Arial" w:hAnsi="Arial" w:cs="Arial"/>
          <w:color w:val="333333"/>
          <w:sz w:val="19"/>
          <w:szCs w:val="19"/>
        </w:rPr>
        <w:t>betyder, at pengeinstituttet skal have en overskydende likviditet, som ligger 100% over lovens minimumskrav.</w:t>
      </w:r>
    </w:p>
    <w:p w14:paraId="71D31DA7" w14:textId="77777777" w:rsidR="00FE30D8" w:rsidRDefault="00FE30D8" w:rsidP="00FE30D8">
      <w:pPr>
        <w:pStyle w:val="NormalWeb"/>
        <w:shd w:val="clear" w:color="auto" w:fill="A4B6E0"/>
        <w:spacing w:after="240"/>
        <w:rPr>
          <w:rFonts w:ascii="Arial" w:hAnsi="Arial" w:cs="Arial"/>
          <w:color w:val="333333"/>
          <w:sz w:val="19"/>
          <w:szCs w:val="19"/>
        </w:rPr>
      </w:pPr>
      <w:r>
        <w:rPr>
          <w:rStyle w:val="Strk"/>
          <w:rFonts w:ascii="Arial" w:eastAsiaTheme="majorEastAsia" w:hAnsi="Arial" w:cs="Arial"/>
          <w:color w:val="333333"/>
          <w:sz w:val="19"/>
          <w:szCs w:val="19"/>
        </w:rPr>
        <w:t>Funding ratio</w:t>
      </w:r>
      <w:r>
        <w:rPr>
          <w:rFonts w:ascii="Arial" w:hAnsi="Arial" w:cs="Arial"/>
          <w:color w:val="333333"/>
          <w:sz w:val="19"/>
          <w:szCs w:val="19"/>
        </w:rPr>
        <w:t> skal være mindre end 1, og viser forholdet mellem pengeinstituttets udlån og den arbejdende kapital, dvs. indlån, udstedte obligationer og egenkapital m.v. Pengeinstitutternes udlån må altså ikke overstige deres arbejdende kapital.</w:t>
      </w:r>
    </w:p>
    <w:p w14:paraId="4B257E30" w14:textId="77777777" w:rsidR="00FE30D8" w:rsidRDefault="00FE30D8" w:rsidP="00FE30D8">
      <w:pPr>
        <w:pStyle w:val="NormalWeb"/>
        <w:shd w:val="clear" w:color="auto" w:fill="A4B6E0"/>
        <w:spacing w:after="240"/>
        <w:rPr>
          <w:rFonts w:ascii="Arial" w:hAnsi="Arial" w:cs="Arial"/>
          <w:color w:val="333333"/>
          <w:sz w:val="19"/>
          <w:szCs w:val="19"/>
        </w:rPr>
      </w:pPr>
      <w:r>
        <w:rPr>
          <w:rFonts w:ascii="Arial" w:hAnsi="Arial" w:cs="Arial"/>
          <w:color w:val="333333"/>
          <w:sz w:val="19"/>
          <w:szCs w:val="19"/>
        </w:rPr>
        <w:t>Ideen bag pejlemærkerne er primært at skabe et solidt fundament i pengeinstitutterne, som sikrer god likviditet og en robust kapital samt en acceptable tabsrisiko, i tilfælde af at store kunder ikke kan tilbagebetale deres lån.</w:t>
      </w:r>
    </w:p>
    <w:p w14:paraId="7866CE47" w14:textId="77777777" w:rsidR="00FE30D8" w:rsidRDefault="00FE30D8" w:rsidP="00FE30D8">
      <w:pPr>
        <w:pStyle w:val="NormalWeb"/>
        <w:shd w:val="clear" w:color="auto" w:fill="A4B6E0"/>
        <w:spacing w:after="240"/>
        <w:rPr>
          <w:rFonts w:ascii="Arial" w:hAnsi="Arial" w:cs="Arial"/>
          <w:color w:val="333333"/>
          <w:sz w:val="19"/>
          <w:szCs w:val="19"/>
        </w:rPr>
      </w:pPr>
      <w:r>
        <w:rPr>
          <w:rFonts w:ascii="Arial" w:hAnsi="Arial" w:cs="Arial"/>
          <w:color w:val="333333"/>
          <w:sz w:val="19"/>
          <w:szCs w:val="19"/>
        </w:rPr>
        <w:t>Hvis et pengeinstitut overskrider et eller flere pejlemærker, vil Finanstilsynet fører en skærpet (ekstra) overvågning med instituttet. Hvis overskridelsen fortsætter, vil Finanstilsynet sætte ind med tilsyn. Hvis situationen stadig ikke forbedres, kan Finanstilsynet endelig give et påbud om ændringer hos pengeinstituttet.</w:t>
      </w:r>
    </w:p>
    <w:p w14:paraId="0C5AD1B5" w14:textId="132BC4F4" w:rsidR="00801B38" w:rsidRDefault="00801B38" w:rsidP="00342C88">
      <w:pPr>
        <w:rPr>
          <w:sz w:val="32"/>
        </w:rPr>
      </w:pPr>
    </w:p>
    <w:p w14:paraId="112F80F6" w14:textId="1B0467A4" w:rsidR="00FE30D8" w:rsidRDefault="00FE30D8">
      <w:pPr>
        <w:rPr>
          <w:sz w:val="32"/>
        </w:rPr>
      </w:pPr>
      <w:r>
        <w:rPr>
          <w:sz w:val="32"/>
        </w:rPr>
        <w:br w:type="page"/>
      </w:r>
    </w:p>
    <w:p w14:paraId="21E13203" w14:textId="66539F09" w:rsidR="00FF1736" w:rsidRDefault="00FF1736" w:rsidP="006A4C52">
      <w:pPr>
        <w:pStyle w:val="Overskrift2"/>
      </w:pPr>
      <w:bookmarkStart w:id="2" w:name="_Toc71097337"/>
      <w:r>
        <w:lastRenderedPageBreak/>
        <w:t>2.1 Danske Bank - årsregnskab</w:t>
      </w:r>
      <w:bookmarkEnd w:id="2"/>
    </w:p>
    <w:p w14:paraId="13D57772" w14:textId="77777777" w:rsidR="00FF1736" w:rsidRDefault="00FF1736">
      <w:pPr>
        <w:rPr>
          <w:sz w:val="32"/>
        </w:rPr>
      </w:pPr>
    </w:p>
    <w:p w14:paraId="07F50AB6" w14:textId="24028841" w:rsidR="00661CE7" w:rsidRDefault="007D5DD7">
      <w:pPr>
        <w:rPr>
          <w:sz w:val="32"/>
        </w:rPr>
      </w:pPr>
      <w:r>
        <w:rPr>
          <w:noProof/>
        </w:rPr>
        <w:drawing>
          <wp:inline distT="0" distB="0" distL="0" distR="0" wp14:anchorId="09E05E1D" wp14:editId="0ABA3150">
            <wp:extent cx="6120130" cy="328168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281680"/>
                    </a:xfrm>
                    <a:prstGeom prst="rect">
                      <a:avLst/>
                    </a:prstGeom>
                  </pic:spPr>
                </pic:pic>
              </a:graphicData>
            </a:graphic>
          </wp:inline>
        </w:drawing>
      </w:r>
    </w:p>
    <w:p w14:paraId="1031F650" w14:textId="14717E52" w:rsidR="007D5DD7" w:rsidRPr="007D5DD7" w:rsidRDefault="00FE30D8">
      <w:pPr>
        <w:rPr>
          <w:sz w:val="24"/>
        </w:rPr>
      </w:pPr>
      <w:hyperlink r:id="rId18" w:history="1">
        <w:r w:rsidR="007D5DD7" w:rsidRPr="007D5DD7">
          <w:rPr>
            <w:rStyle w:val="Hyperlink"/>
            <w:sz w:val="24"/>
          </w:rPr>
          <w:t>Danske Bank Årsrapport 2019</w:t>
        </w:r>
      </w:hyperlink>
    </w:p>
    <w:p w14:paraId="06BED860" w14:textId="11DDF4D0" w:rsidR="00661CE7" w:rsidRDefault="007D5DD7">
      <w:pPr>
        <w:rPr>
          <w:sz w:val="32"/>
        </w:rPr>
      </w:pPr>
      <w:r>
        <w:rPr>
          <w:sz w:val="32"/>
        </w:rPr>
        <w:t xml:space="preserve">Nettorenteindtægter må være indtægten mellem ind og udlånsrenten. Vi kan dermed ikke direkte se bankens rentemarginal. Gebyrer udgør 15,8 mia. og de samlede indtægter udgør 44,9 mia. </w:t>
      </w:r>
      <w:r w:rsidRPr="00FF1736">
        <w:rPr>
          <w:sz w:val="32"/>
          <w:highlight w:val="green"/>
        </w:rPr>
        <w:t>Gebyrer udgør dermed ca. 35% (15,895/44,982) af de samlede indtægter.</w:t>
      </w:r>
      <w:r>
        <w:rPr>
          <w:sz w:val="32"/>
        </w:rPr>
        <w:t xml:space="preserve"> </w:t>
      </w:r>
    </w:p>
    <w:p w14:paraId="3768356B" w14:textId="4C8E012D" w:rsidR="007D5DD7" w:rsidRDefault="007D5DD7">
      <w:pPr>
        <w:rPr>
          <w:sz w:val="32"/>
        </w:rPr>
      </w:pPr>
      <w:r>
        <w:rPr>
          <w:sz w:val="32"/>
        </w:rPr>
        <w:t xml:space="preserve">Resultat før renter - er ikke eksisterende - men vi kan anvende resultat før skat til at udregne </w:t>
      </w:r>
      <w:r w:rsidRPr="00FF1736">
        <w:rPr>
          <w:sz w:val="32"/>
          <w:highlight w:val="green"/>
        </w:rPr>
        <w:t>overskudgraden, den bliver ca. 30%</w:t>
      </w:r>
      <w:r w:rsidR="00A81220" w:rsidRPr="00FF1736">
        <w:rPr>
          <w:sz w:val="32"/>
          <w:highlight w:val="green"/>
        </w:rPr>
        <w:t xml:space="preserve"> (13,822/44,982)</w:t>
      </w:r>
    </w:p>
    <w:p w14:paraId="528AAA4F" w14:textId="5B2A6C3B" w:rsidR="007D5DD7" w:rsidRDefault="00A81220">
      <w:pPr>
        <w:rPr>
          <w:sz w:val="32"/>
        </w:rPr>
      </w:pPr>
      <w:r>
        <w:rPr>
          <w:noProof/>
        </w:rPr>
        <w:lastRenderedPageBreak/>
        <w:drawing>
          <wp:inline distT="0" distB="0" distL="0" distR="0" wp14:anchorId="0587027B" wp14:editId="1A63CB9A">
            <wp:extent cx="6211953" cy="5487504"/>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1953" cy="5487504"/>
                    </a:xfrm>
                    <a:prstGeom prst="rect">
                      <a:avLst/>
                    </a:prstGeom>
                  </pic:spPr>
                </pic:pic>
              </a:graphicData>
            </a:graphic>
          </wp:inline>
        </w:drawing>
      </w:r>
    </w:p>
    <w:p w14:paraId="4CCD59AD" w14:textId="77777777" w:rsidR="00A81220" w:rsidRPr="007D5DD7" w:rsidRDefault="00FE30D8" w:rsidP="00A81220">
      <w:pPr>
        <w:rPr>
          <w:sz w:val="24"/>
        </w:rPr>
      </w:pPr>
      <w:hyperlink r:id="rId20" w:history="1">
        <w:r w:rsidR="00A81220" w:rsidRPr="007D5DD7">
          <w:rPr>
            <w:rStyle w:val="Hyperlink"/>
            <w:sz w:val="24"/>
          </w:rPr>
          <w:t>Danske Bank Årsrapport 2019</w:t>
        </w:r>
      </w:hyperlink>
    </w:p>
    <w:p w14:paraId="689EE44F" w14:textId="449D5AE8" w:rsidR="00A81220" w:rsidRPr="00112E5F" w:rsidRDefault="007C3F00">
      <w:pPr>
        <w:rPr>
          <w:sz w:val="32"/>
        </w:rPr>
      </w:pPr>
      <w:r w:rsidRPr="00112E5F">
        <w:rPr>
          <w:sz w:val="32"/>
        </w:rPr>
        <w:t xml:space="preserve">Hvis man udregner </w:t>
      </w:r>
      <w:r w:rsidRPr="00F11406">
        <w:rPr>
          <w:sz w:val="32"/>
          <w:highlight w:val="green"/>
        </w:rPr>
        <w:t>soliditetsgraden normalt ville den være ca. 4%</w:t>
      </w:r>
      <w:r w:rsidRPr="00112E5F">
        <w:rPr>
          <w:sz w:val="32"/>
        </w:rPr>
        <w:t xml:space="preserve"> (</w:t>
      </w:r>
      <w:r w:rsidR="00112E5F">
        <w:rPr>
          <w:sz w:val="32"/>
        </w:rPr>
        <w:t xml:space="preserve">egenkapitalen udgør </w:t>
      </w:r>
      <w:r w:rsidRPr="00112E5F">
        <w:rPr>
          <w:sz w:val="32"/>
        </w:rPr>
        <w:t>156</w:t>
      </w:r>
      <w:r w:rsidR="00112E5F">
        <w:rPr>
          <w:sz w:val="32"/>
        </w:rPr>
        <w:t xml:space="preserve"> mia. divideret med </w:t>
      </w:r>
      <w:r w:rsidRPr="00112E5F">
        <w:rPr>
          <w:sz w:val="32"/>
        </w:rPr>
        <w:t>3</w:t>
      </w:r>
      <w:r w:rsidR="00112E5F">
        <w:rPr>
          <w:sz w:val="32"/>
        </w:rPr>
        <w:t>,</w:t>
      </w:r>
      <w:r w:rsidRPr="00112E5F">
        <w:rPr>
          <w:sz w:val="32"/>
        </w:rPr>
        <w:t>7</w:t>
      </w:r>
      <w:r w:rsidR="00112E5F">
        <w:rPr>
          <w:sz w:val="32"/>
        </w:rPr>
        <w:t xml:space="preserve"> billioner</w:t>
      </w:r>
      <w:r w:rsidRPr="00112E5F">
        <w:rPr>
          <w:sz w:val="32"/>
        </w:rPr>
        <w:t xml:space="preserve">). Danske Bank har selv udregnet </w:t>
      </w:r>
      <w:r w:rsidRPr="0014475D">
        <w:rPr>
          <w:sz w:val="32"/>
          <w:highlight w:val="green"/>
        </w:rPr>
        <w:t>so</w:t>
      </w:r>
      <w:r w:rsidRPr="00F11406">
        <w:rPr>
          <w:sz w:val="32"/>
          <w:highlight w:val="green"/>
        </w:rPr>
        <w:t>lvensprocenten til 22,7% (basiskapital / risikovægtede aktiver)</w:t>
      </w:r>
      <w:r w:rsidRPr="00112E5F">
        <w:rPr>
          <w:sz w:val="32"/>
        </w:rPr>
        <w:t>. Alle banker skal sammenlignes på solvensprocenten. Bemærk at K/I (kurs/indre værdi) er 0,58 altså langt under 1.</w:t>
      </w:r>
      <w:r w:rsidR="00112E5F" w:rsidRPr="00112E5F">
        <w:rPr>
          <w:sz w:val="32"/>
        </w:rPr>
        <w:t xml:space="preserve"> Dvs. at man betaler mindre for aktien end den værdi som aktien har ifølge årsrapporten.</w:t>
      </w:r>
      <w:r w:rsidRPr="00112E5F">
        <w:rPr>
          <w:sz w:val="32"/>
        </w:rPr>
        <w:t xml:space="preserve">  </w:t>
      </w:r>
    </w:p>
    <w:p w14:paraId="688F47BA" w14:textId="65DCF1A5" w:rsidR="002B5F1E" w:rsidRDefault="002B5F1E" w:rsidP="00C5588F"/>
    <w:p w14:paraId="2FBCF94C" w14:textId="11C04AA5" w:rsidR="00072114" w:rsidRDefault="00C5588F" w:rsidP="00FC5DD2">
      <w:pPr>
        <w:pStyle w:val="Overskrift1"/>
      </w:pPr>
      <w:bookmarkStart w:id="3" w:name="_Toc71097338"/>
      <w:r w:rsidRPr="00C5588F">
        <w:lastRenderedPageBreak/>
        <w:t>3.</w:t>
      </w:r>
      <w:r w:rsidR="00342C88">
        <w:t>0</w:t>
      </w:r>
      <w:r w:rsidRPr="00C5588F">
        <w:t xml:space="preserve"> </w:t>
      </w:r>
      <w:r w:rsidR="00072114">
        <w:t>Sparekassen Sjælland og Fyn</w:t>
      </w:r>
      <w:r w:rsidR="00F11406">
        <w:t>, tilsynsdiamanten</w:t>
      </w:r>
      <w:bookmarkEnd w:id="3"/>
    </w:p>
    <w:p w14:paraId="4EB95F48" w14:textId="77777777" w:rsidR="00072114" w:rsidRDefault="00072114" w:rsidP="00C5588F">
      <w:pPr>
        <w:pStyle w:val="Overskrift3"/>
      </w:pPr>
    </w:p>
    <w:p w14:paraId="5BBF9F88" w14:textId="6984D1E7" w:rsidR="00C5588F" w:rsidRDefault="00072114" w:rsidP="00FC5DD2">
      <w:r>
        <w:rPr>
          <w:noProof/>
        </w:rPr>
        <w:drawing>
          <wp:inline distT="0" distB="0" distL="0" distR="0" wp14:anchorId="27758AAC" wp14:editId="55DF4FCB">
            <wp:extent cx="6120130" cy="5177155"/>
            <wp:effectExtent l="0" t="0" r="0" b="444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5177155"/>
                    </a:xfrm>
                    <a:prstGeom prst="rect">
                      <a:avLst/>
                    </a:prstGeom>
                  </pic:spPr>
                </pic:pic>
              </a:graphicData>
            </a:graphic>
          </wp:inline>
        </w:drawing>
      </w:r>
      <w:r>
        <w:t xml:space="preserve"> </w:t>
      </w:r>
    </w:p>
    <w:p w14:paraId="3D7BB67E" w14:textId="77777777" w:rsidR="00F11406" w:rsidRDefault="00F11406" w:rsidP="00072114"/>
    <w:p w14:paraId="54CB0DD3" w14:textId="0CDE3C49" w:rsidR="00F11406" w:rsidRDefault="00F11406" w:rsidP="00072114"/>
    <w:p w14:paraId="44BB6DD3" w14:textId="77777777" w:rsidR="00F11406" w:rsidRPr="00072114" w:rsidRDefault="00F11406" w:rsidP="00072114"/>
    <w:p w14:paraId="78CA2F45" w14:textId="77777777" w:rsidR="001F3F34" w:rsidRDefault="001F3F34">
      <w:pPr>
        <w:rPr>
          <w:rFonts w:asciiTheme="majorHAnsi" w:eastAsiaTheme="majorEastAsia" w:hAnsiTheme="majorHAnsi" w:cstheme="majorBidi"/>
          <w:color w:val="2E74B5" w:themeColor="accent1" w:themeShade="BF"/>
          <w:sz w:val="32"/>
          <w:szCs w:val="32"/>
        </w:rPr>
      </w:pPr>
      <w:r>
        <w:br w:type="page"/>
      </w:r>
    </w:p>
    <w:p w14:paraId="02D533E0" w14:textId="748DA39A" w:rsidR="003E252C" w:rsidRDefault="003E252C" w:rsidP="006A4C52">
      <w:pPr>
        <w:pStyle w:val="Overskrift2"/>
      </w:pPr>
      <w:bookmarkStart w:id="4" w:name="_Toc71097339"/>
      <w:r w:rsidRPr="00C5588F">
        <w:lastRenderedPageBreak/>
        <w:t xml:space="preserve">3.1 </w:t>
      </w:r>
      <w:r>
        <w:t>Årsregnskab Sparekassen Sjælland og Fyn</w:t>
      </w:r>
      <w:bookmarkEnd w:id="4"/>
    </w:p>
    <w:p w14:paraId="4ED2CB5C" w14:textId="07D05740" w:rsidR="00EE5783" w:rsidRDefault="00EE5783" w:rsidP="00EE5783"/>
    <w:p w14:paraId="5EAFE905" w14:textId="73F42448" w:rsidR="00EE5783" w:rsidRPr="00EE5783" w:rsidRDefault="00EE5783" w:rsidP="00EE5783">
      <w:r>
        <w:rPr>
          <w:noProof/>
        </w:rPr>
        <w:drawing>
          <wp:inline distT="0" distB="0" distL="0" distR="0" wp14:anchorId="7820C481" wp14:editId="1C1F8DDD">
            <wp:extent cx="5848350" cy="537210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8350" cy="5372100"/>
                    </a:xfrm>
                    <a:prstGeom prst="rect">
                      <a:avLst/>
                    </a:prstGeom>
                  </pic:spPr>
                </pic:pic>
              </a:graphicData>
            </a:graphic>
          </wp:inline>
        </w:drawing>
      </w:r>
    </w:p>
    <w:p w14:paraId="27C7737D" w14:textId="5B0B42FD" w:rsidR="00EE5783" w:rsidRDefault="00EE5783" w:rsidP="00EE5783"/>
    <w:p w14:paraId="5A15C8EA" w14:textId="2993FE43" w:rsidR="005A2BAD" w:rsidRDefault="00FE30D8" w:rsidP="00EE5783">
      <w:hyperlink r:id="rId23" w:history="1">
        <w:r w:rsidR="005A2BAD" w:rsidRPr="005A2BAD">
          <w:rPr>
            <w:rStyle w:val="Hyperlink"/>
          </w:rPr>
          <w:t>Årsrapport 2019 Sparekassen Sjælland og Fyn</w:t>
        </w:r>
      </w:hyperlink>
    </w:p>
    <w:p w14:paraId="66E8CC1C" w14:textId="0398790E" w:rsidR="005A2BAD" w:rsidRDefault="005A2BAD" w:rsidP="005A2BAD">
      <w:pPr>
        <w:rPr>
          <w:sz w:val="32"/>
        </w:rPr>
      </w:pPr>
      <w:r>
        <w:rPr>
          <w:sz w:val="32"/>
        </w:rPr>
        <w:t xml:space="preserve">Nettorenteindtægter må være indtægten mellem ind og udlånsrenten. Vi kan dermed ikke direkte se bankens rentemarginal. Gebyrer udgør </w:t>
      </w:r>
      <w:r w:rsidR="00094CAC">
        <w:rPr>
          <w:sz w:val="32"/>
        </w:rPr>
        <w:t>541 mio.</w:t>
      </w:r>
      <w:r>
        <w:rPr>
          <w:sz w:val="32"/>
        </w:rPr>
        <w:t xml:space="preserve"> og de samlede indtægter udgør </w:t>
      </w:r>
      <w:r w:rsidR="00094CAC">
        <w:rPr>
          <w:sz w:val="32"/>
        </w:rPr>
        <w:t>1,1</w:t>
      </w:r>
      <w:r>
        <w:rPr>
          <w:sz w:val="32"/>
        </w:rPr>
        <w:t xml:space="preserve"> mia. </w:t>
      </w:r>
      <w:r w:rsidRPr="00094CAC">
        <w:rPr>
          <w:sz w:val="32"/>
          <w:highlight w:val="green"/>
        </w:rPr>
        <w:t xml:space="preserve">Gebyrer udgør dermed ca. </w:t>
      </w:r>
      <w:r w:rsidR="00094CAC" w:rsidRPr="00094CAC">
        <w:rPr>
          <w:sz w:val="32"/>
          <w:highlight w:val="green"/>
        </w:rPr>
        <w:t>48</w:t>
      </w:r>
      <w:r w:rsidRPr="00094CAC">
        <w:rPr>
          <w:sz w:val="32"/>
          <w:highlight w:val="green"/>
        </w:rPr>
        <w:t>% (</w:t>
      </w:r>
      <w:r w:rsidR="00094CAC" w:rsidRPr="00094CAC">
        <w:rPr>
          <w:sz w:val="32"/>
          <w:highlight w:val="green"/>
        </w:rPr>
        <w:t>541/1113</w:t>
      </w:r>
      <w:r w:rsidRPr="00094CAC">
        <w:rPr>
          <w:sz w:val="32"/>
          <w:highlight w:val="green"/>
        </w:rPr>
        <w:t>) af de samlede indtægter.</w:t>
      </w:r>
      <w:r>
        <w:rPr>
          <w:sz w:val="32"/>
        </w:rPr>
        <w:t xml:space="preserve"> </w:t>
      </w:r>
    </w:p>
    <w:p w14:paraId="0BEB4037" w14:textId="5D9A0103" w:rsidR="005A2BAD" w:rsidRDefault="005A2BAD" w:rsidP="005A2BAD">
      <w:pPr>
        <w:rPr>
          <w:sz w:val="32"/>
        </w:rPr>
      </w:pPr>
      <w:r>
        <w:rPr>
          <w:sz w:val="32"/>
        </w:rPr>
        <w:t xml:space="preserve">Resultat før renter - er ikke eksisterende - men vi kan anvende resultat før skat til at udregne </w:t>
      </w:r>
      <w:r w:rsidRPr="00094CAC">
        <w:rPr>
          <w:sz w:val="32"/>
          <w:highlight w:val="green"/>
        </w:rPr>
        <w:t xml:space="preserve">overskudgraden, den bliver ca. </w:t>
      </w:r>
      <w:r w:rsidR="00094CAC" w:rsidRPr="00094CAC">
        <w:rPr>
          <w:sz w:val="32"/>
          <w:highlight w:val="green"/>
        </w:rPr>
        <w:t>22</w:t>
      </w:r>
      <w:r w:rsidRPr="00094CAC">
        <w:rPr>
          <w:sz w:val="32"/>
          <w:highlight w:val="green"/>
        </w:rPr>
        <w:t>% (</w:t>
      </w:r>
      <w:r w:rsidR="00094CAC" w:rsidRPr="00094CAC">
        <w:rPr>
          <w:sz w:val="32"/>
          <w:highlight w:val="green"/>
        </w:rPr>
        <w:t>251/1113</w:t>
      </w:r>
      <w:r w:rsidRPr="00094CAC">
        <w:rPr>
          <w:sz w:val="32"/>
          <w:highlight w:val="green"/>
        </w:rPr>
        <w:t>)</w:t>
      </w:r>
    </w:p>
    <w:p w14:paraId="6E50535E" w14:textId="247E37F1" w:rsidR="00EE5783" w:rsidRDefault="007B233D" w:rsidP="00EE5783">
      <w:r>
        <w:rPr>
          <w:noProof/>
        </w:rPr>
        <w:lastRenderedPageBreak/>
        <w:drawing>
          <wp:inline distT="0" distB="0" distL="0" distR="0" wp14:anchorId="4361ACB0" wp14:editId="4D84889E">
            <wp:extent cx="6120130" cy="3878580"/>
            <wp:effectExtent l="0" t="0" r="0"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878580"/>
                    </a:xfrm>
                    <a:prstGeom prst="rect">
                      <a:avLst/>
                    </a:prstGeom>
                  </pic:spPr>
                </pic:pic>
              </a:graphicData>
            </a:graphic>
          </wp:inline>
        </w:drawing>
      </w:r>
    </w:p>
    <w:p w14:paraId="1934D7CB" w14:textId="1B4745EA" w:rsidR="007B233D" w:rsidRDefault="007B233D" w:rsidP="00EE5783"/>
    <w:p w14:paraId="1851DA35" w14:textId="4AB47F96" w:rsidR="007B233D" w:rsidRDefault="007B233D" w:rsidP="00EE5783">
      <w:pPr>
        <w:rPr>
          <w:sz w:val="32"/>
        </w:rPr>
      </w:pPr>
      <w:r w:rsidRPr="00112E5F">
        <w:rPr>
          <w:sz w:val="32"/>
        </w:rPr>
        <w:t xml:space="preserve">Hvis man udregner </w:t>
      </w:r>
      <w:r w:rsidRPr="00F11406">
        <w:rPr>
          <w:sz w:val="32"/>
          <w:highlight w:val="green"/>
        </w:rPr>
        <w:t xml:space="preserve">soliditetsgraden normalt ville den være ca. </w:t>
      </w:r>
      <w:r>
        <w:rPr>
          <w:sz w:val="32"/>
          <w:highlight w:val="green"/>
        </w:rPr>
        <w:t>13</w:t>
      </w:r>
      <w:r w:rsidRPr="00F11406">
        <w:rPr>
          <w:sz w:val="32"/>
          <w:highlight w:val="green"/>
        </w:rPr>
        <w:t>%</w:t>
      </w:r>
      <w:r w:rsidRPr="00112E5F">
        <w:rPr>
          <w:sz w:val="32"/>
        </w:rPr>
        <w:t xml:space="preserve"> (</w:t>
      </w:r>
      <w:r>
        <w:rPr>
          <w:sz w:val="32"/>
        </w:rPr>
        <w:t>egenkapitalen udgør 3.237.353 / 25.358.569</w:t>
      </w:r>
      <w:r w:rsidRPr="00112E5F">
        <w:rPr>
          <w:sz w:val="32"/>
        </w:rPr>
        <w:t xml:space="preserve">). </w:t>
      </w:r>
      <w:r>
        <w:rPr>
          <w:sz w:val="32"/>
        </w:rPr>
        <w:t xml:space="preserve">Sparekassen Sjælland og Fyn </w:t>
      </w:r>
      <w:r w:rsidRPr="00112E5F">
        <w:rPr>
          <w:sz w:val="32"/>
        </w:rPr>
        <w:t xml:space="preserve">har selv udregnet </w:t>
      </w:r>
      <w:r>
        <w:rPr>
          <w:sz w:val="32"/>
          <w:highlight w:val="green"/>
        </w:rPr>
        <w:t>kapital</w:t>
      </w:r>
      <w:r w:rsidRPr="00F11406">
        <w:rPr>
          <w:sz w:val="32"/>
          <w:highlight w:val="green"/>
        </w:rPr>
        <w:t>proce</w:t>
      </w:r>
      <w:r>
        <w:rPr>
          <w:sz w:val="32"/>
          <w:highlight w:val="green"/>
        </w:rPr>
        <w:t>n</w:t>
      </w:r>
      <w:r w:rsidR="0069296C">
        <w:rPr>
          <w:sz w:val="32"/>
          <w:highlight w:val="green"/>
        </w:rPr>
        <w:t>ten</w:t>
      </w:r>
      <w:r w:rsidRPr="00F11406">
        <w:rPr>
          <w:sz w:val="32"/>
          <w:highlight w:val="green"/>
        </w:rPr>
        <w:t xml:space="preserve"> til 2</w:t>
      </w:r>
      <w:r>
        <w:rPr>
          <w:sz w:val="32"/>
          <w:highlight w:val="green"/>
        </w:rPr>
        <w:t>0</w:t>
      </w:r>
      <w:r w:rsidRPr="00F11406">
        <w:rPr>
          <w:sz w:val="32"/>
          <w:highlight w:val="green"/>
        </w:rPr>
        <w:t>,</w:t>
      </w:r>
      <w:r>
        <w:rPr>
          <w:sz w:val="32"/>
          <w:highlight w:val="green"/>
        </w:rPr>
        <w:t>1</w:t>
      </w:r>
      <w:r w:rsidRPr="00F11406">
        <w:rPr>
          <w:sz w:val="32"/>
          <w:highlight w:val="green"/>
        </w:rPr>
        <w:t>% (basiskapital / risikovægtede aktiver)</w:t>
      </w:r>
      <w:r w:rsidR="00103AB2">
        <w:rPr>
          <w:sz w:val="32"/>
          <w:highlight w:val="green"/>
        </w:rPr>
        <w:t xml:space="preserve"> ved søgning i årsrapporten står den på side 16</w:t>
      </w:r>
      <w:r w:rsidRPr="00112E5F">
        <w:rPr>
          <w:sz w:val="32"/>
        </w:rPr>
        <w:t>.</w:t>
      </w:r>
    </w:p>
    <w:p w14:paraId="6B323A81" w14:textId="3558CE29" w:rsidR="00103AB2" w:rsidRPr="00EE5783" w:rsidRDefault="00103AB2" w:rsidP="00EE5783">
      <w:r w:rsidRPr="00112E5F">
        <w:rPr>
          <w:sz w:val="32"/>
        </w:rPr>
        <w:t>K/I (</w:t>
      </w:r>
      <w:r>
        <w:rPr>
          <w:sz w:val="32"/>
        </w:rPr>
        <w:t xml:space="preserve">89,6 </w:t>
      </w:r>
      <w:r w:rsidRPr="00112E5F">
        <w:rPr>
          <w:sz w:val="32"/>
        </w:rPr>
        <w:t>kurs</w:t>
      </w:r>
      <w:r>
        <w:rPr>
          <w:sz w:val="32"/>
        </w:rPr>
        <w:t xml:space="preserve"> </w:t>
      </w:r>
      <w:r w:rsidRPr="00112E5F">
        <w:rPr>
          <w:sz w:val="32"/>
        </w:rPr>
        <w:t>/</w:t>
      </w:r>
      <w:r>
        <w:rPr>
          <w:sz w:val="32"/>
        </w:rPr>
        <w:t xml:space="preserve"> 164,7 </w:t>
      </w:r>
      <w:r w:rsidRPr="00112E5F">
        <w:rPr>
          <w:sz w:val="32"/>
        </w:rPr>
        <w:t>indre værdi) er 0,5</w:t>
      </w:r>
      <w:r>
        <w:rPr>
          <w:sz w:val="32"/>
        </w:rPr>
        <w:t>4</w:t>
      </w:r>
      <w:r w:rsidRPr="00112E5F">
        <w:rPr>
          <w:sz w:val="32"/>
        </w:rPr>
        <w:t xml:space="preserve"> altså langt under 1. Dvs. at man betaler mindre for aktien end den værdi som aktien har ifølge årsrapporten</w:t>
      </w:r>
      <w:r>
        <w:rPr>
          <w:sz w:val="32"/>
        </w:rPr>
        <w:t>, næsten samme værdi som Banske Bank.</w:t>
      </w:r>
    </w:p>
    <w:p w14:paraId="730FA294" w14:textId="0846501C" w:rsidR="00E57819" w:rsidRPr="00E57819" w:rsidRDefault="00E57819" w:rsidP="00E57819">
      <w:r>
        <w:rPr>
          <w:noProof/>
        </w:rPr>
        <w:lastRenderedPageBreak/>
        <w:drawing>
          <wp:inline distT="0" distB="0" distL="0" distR="0" wp14:anchorId="0C7BFF77" wp14:editId="2D6BDA90">
            <wp:extent cx="6120130" cy="6075045"/>
            <wp:effectExtent l="0" t="0" r="0" b="190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6075045"/>
                    </a:xfrm>
                    <a:prstGeom prst="rect">
                      <a:avLst/>
                    </a:prstGeom>
                  </pic:spPr>
                </pic:pic>
              </a:graphicData>
            </a:graphic>
          </wp:inline>
        </w:drawing>
      </w:r>
    </w:p>
    <w:p w14:paraId="25B33041" w14:textId="77777777" w:rsidR="003E252C" w:rsidRPr="003E252C" w:rsidRDefault="003E252C" w:rsidP="003E252C"/>
    <w:p w14:paraId="12D18F6D" w14:textId="0EEB844E" w:rsidR="00425389" w:rsidRDefault="00425389" w:rsidP="00C5588F">
      <w:pPr>
        <w:pStyle w:val="NormalWeb"/>
        <w:rPr>
          <w:rFonts w:ascii="Open Sans" w:hAnsi="Open Sans" w:cs="Arial"/>
          <w:color w:val="000000"/>
          <w:sz w:val="27"/>
          <w:szCs w:val="27"/>
        </w:rPr>
      </w:pPr>
    </w:p>
    <w:p w14:paraId="38555C6B" w14:textId="77777777" w:rsidR="00425389" w:rsidRDefault="00425389" w:rsidP="00C5588F">
      <w:pPr>
        <w:pStyle w:val="NormalWeb"/>
        <w:rPr>
          <w:rFonts w:ascii="Open Sans" w:hAnsi="Open Sans" w:cs="Arial"/>
          <w:color w:val="000000"/>
          <w:sz w:val="27"/>
          <w:szCs w:val="27"/>
        </w:rPr>
      </w:pPr>
    </w:p>
    <w:p w14:paraId="62F2F1EC" w14:textId="2B5B3ECD" w:rsidR="00C5588F" w:rsidRDefault="00C5588F" w:rsidP="00C5588F"/>
    <w:p w14:paraId="6684FADD" w14:textId="1698D990" w:rsidR="00C772E0" w:rsidRDefault="00C772E0" w:rsidP="00C5588F"/>
    <w:p w14:paraId="00DF24A9" w14:textId="0B8E157B" w:rsidR="00C772E0" w:rsidRDefault="00C772E0" w:rsidP="00C5588F"/>
    <w:p w14:paraId="64DAB7FF" w14:textId="35D18C57" w:rsidR="00C772E0" w:rsidRDefault="00C772E0" w:rsidP="00C5588F"/>
    <w:p w14:paraId="4301A78B" w14:textId="31855358" w:rsidR="00C772E0" w:rsidRDefault="00C772E0" w:rsidP="00C5588F"/>
    <w:p w14:paraId="62DB1442" w14:textId="09A51826" w:rsidR="00C772E0" w:rsidRDefault="00C772E0" w:rsidP="00C5588F"/>
    <w:p w14:paraId="0E8DF388" w14:textId="2F1F8C80" w:rsidR="00342C88" w:rsidRDefault="006A4C52" w:rsidP="00342C88">
      <w:pPr>
        <w:pStyle w:val="Overskrift1"/>
      </w:pPr>
      <w:bookmarkStart w:id="5" w:name="_Toc71097340"/>
      <w:r>
        <w:lastRenderedPageBreak/>
        <w:t>4</w:t>
      </w:r>
      <w:r w:rsidR="001F3F34">
        <w:t xml:space="preserve">.0 </w:t>
      </w:r>
      <w:r w:rsidR="00342C88">
        <w:t xml:space="preserve">Sammenfatning </w:t>
      </w:r>
      <w:r w:rsidR="001F3F34">
        <w:t xml:space="preserve">Danske Bank </w:t>
      </w:r>
      <w:r w:rsidR="001F3F34">
        <w:sym w:font="Wingdings" w:char="F0F3"/>
      </w:r>
      <w:r w:rsidR="001F3F34">
        <w:t xml:space="preserve"> </w:t>
      </w:r>
      <w:r w:rsidR="00342C88">
        <w:t xml:space="preserve">Sparekassen Sjælland og </w:t>
      </w:r>
      <w:r w:rsidR="001F3F34">
        <w:t>Fyn</w:t>
      </w:r>
      <w:bookmarkEnd w:id="5"/>
    </w:p>
    <w:tbl>
      <w:tblPr>
        <w:tblStyle w:val="Tabel-Gitter"/>
        <w:tblW w:w="0" w:type="auto"/>
        <w:tblLook w:val="04A0" w:firstRow="1" w:lastRow="0" w:firstColumn="1" w:lastColumn="0" w:noHBand="0" w:noVBand="1"/>
      </w:tblPr>
      <w:tblGrid>
        <w:gridCol w:w="2407"/>
        <w:gridCol w:w="2407"/>
        <w:gridCol w:w="2407"/>
        <w:gridCol w:w="2407"/>
      </w:tblGrid>
      <w:tr w:rsidR="00342C88" w14:paraId="7067D44F" w14:textId="77777777" w:rsidTr="00B7516F">
        <w:tc>
          <w:tcPr>
            <w:tcW w:w="2407" w:type="dxa"/>
          </w:tcPr>
          <w:p w14:paraId="76C472A8" w14:textId="77777777" w:rsidR="00342C88" w:rsidRDefault="00342C88" w:rsidP="00B7516F"/>
        </w:tc>
        <w:tc>
          <w:tcPr>
            <w:tcW w:w="2407" w:type="dxa"/>
          </w:tcPr>
          <w:p w14:paraId="696F9775" w14:textId="77777777" w:rsidR="00342C88" w:rsidRDefault="00342C88" w:rsidP="00B7516F">
            <w:r>
              <w:t>Grænseværdi</w:t>
            </w:r>
          </w:p>
        </w:tc>
        <w:tc>
          <w:tcPr>
            <w:tcW w:w="2407" w:type="dxa"/>
          </w:tcPr>
          <w:p w14:paraId="79124A3A" w14:textId="77777777" w:rsidR="00342C88" w:rsidRDefault="00342C88" w:rsidP="00B7516F">
            <w:r>
              <w:t>Sparekassen Sjælland</w:t>
            </w:r>
          </w:p>
        </w:tc>
        <w:tc>
          <w:tcPr>
            <w:tcW w:w="2407" w:type="dxa"/>
          </w:tcPr>
          <w:p w14:paraId="4DB69465" w14:textId="77777777" w:rsidR="00342C88" w:rsidRDefault="00342C88" w:rsidP="00B7516F">
            <w:r>
              <w:t>Danske Bank</w:t>
            </w:r>
          </w:p>
        </w:tc>
      </w:tr>
      <w:tr w:rsidR="00342C88" w14:paraId="334AB29E" w14:textId="77777777" w:rsidTr="00B7516F">
        <w:tc>
          <w:tcPr>
            <w:tcW w:w="2407" w:type="dxa"/>
          </w:tcPr>
          <w:p w14:paraId="5A48D0EF" w14:textId="77777777" w:rsidR="00342C88" w:rsidRDefault="00342C88" w:rsidP="00B7516F">
            <w:r>
              <w:t>Summen af store engagementer</w:t>
            </w:r>
          </w:p>
        </w:tc>
        <w:tc>
          <w:tcPr>
            <w:tcW w:w="2407" w:type="dxa"/>
          </w:tcPr>
          <w:p w14:paraId="368452F1" w14:textId="77777777" w:rsidR="00342C88" w:rsidRDefault="00342C88" w:rsidP="00B7516F">
            <w:r>
              <w:t>&lt; 175%</w:t>
            </w:r>
          </w:p>
        </w:tc>
        <w:tc>
          <w:tcPr>
            <w:tcW w:w="2407" w:type="dxa"/>
          </w:tcPr>
          <w:p w14:paraId="0D6EB388" w14:textId="77777777" w:rsidR="00342C88" w:rsidRDefault="00342C88" w:rsidP="00B7516F">
            <w:r>
              <w:t>76,5%</w:t>
            </w:r>
          </w:p>
        </w:tc>
        <w:tc>
          <w:tcPr>
            <w:tcW w:w="2407" w:type="dxa"/>
          </w:tcPr>
          <w:p w14:paraId="6AEA22EC" w14:textId="77777777" w:rsidR="00342C88" w:rsidRDefault="00342C88" w:rsidP="00B7516F">
            <w:r>
              <w:t>131%</w:t>
            </w:r>
          </w:p>
        </w:tc>
      </w:tr>
      <w:tr w:rsidR="00342C88" w14:paraId="195FEFD6" w14:textId="77777777" w:rsidTr="00B7516F">
        <w:tc>
          <w:tcPr>
            <w:tcW w:w="2407" w:type="dxa"/>
          </w:tcPr>
          <w:p w14:paraId="53B32D0A" w14:textId="77777777" w:rsidR="00342C88" w:rsidRDefault="00342C88" w:rsidP="00B7516F">
            <w:r>
              <w:t>Udlånsvækst</w:t>
            </w:r>
          </w:p>
        </w:tc>
        <w:tc>
          <w:tcPr>
            <w:tcW w:w="2407" w:type="dxa"/>
          </w:tcPr>
          <w:p w14:paraId="1BD3CA14" w14:textId="77777777" w:rsidR="00342C88" w:rsidRDefault="00342C88" w:rsidP="00B7516F">
            <w:r>
              <w:t>&lt;20%</w:t>
            </w:r>
          </w:p>
        </w:tc>
        <w:tc>
          <w:tcPr>
            <w:tcW w:w="2407" w:type="dxa"/>
          </w:tcPr>
          <w:p w14:paraId="26FC14E5" w14:textId="77777777" w:rsidR="00342C88" w:rsidRDefault="00342C88" w:rsidP="00B7516F">
            <w:r>
              <w:t>0,4%</w:t>
            </w:r>
          </w:p>
        </w:tc>
        <w:tc>
          <w:tcPr>
            <w:tcW w:w="2407" w:type="dxa"/>
          </w:tcPr>
          <w:p w14:paraId="2FBA4E70" w14:textId="77777777" w:rsidR="00342C88" w:rsidRDefault="00342C88" w:rsidP="00B7516F">
            <w:r>
              <w:t>-5%</w:t>
            </w:r>
          </w:p>
        </w:tc>
      </w:tr>
      <w:tr w:rsidR="00342C88" w14:paraId="3A23DCEA" w14:textId="77777777" w:rsidTr="00B7516F">
        <w:tc>
          <w:tcPr>
            <w:tcW w:w="2407" w:type="dxa"/>
          </w:tcPr>
          <w:p w14:paraId="1080B3B8" w14:textId="77777777" w:rsidR="00342C88" w:rsidRDefault="00342C88" w:rsidP="00B7516F">
            <w:r>
              <w:t>Ejendomseksponering</w:t>
            </w:r>
          </w:p>
        </w:tc>
        <w:tc>
          <w:tcPr>
            <w:tcW w:w="2407" w:type="dxa"/>
          </w:tcPr>
          <w:p w14:paraId="347B5E8E" w14:textId="77777777" w:rsidR="00342C88" w:rsidRDefault="00342C88" w:rsidP="00B7516F">
            <w:r>
              <w:t>&lt;20%</w:t>
            </w:r>
          </w:p>
        </w:tc>
        <w:tc>
          <w:tcPr>
            <w:tcW w:w="2407" w:type="dxa"/>
          </w:tcPr>
          <w:p w14:paraId="7BE736B6" w14:textId="77777777" w:rsidR="00342C88" w:rsidRDefault="00342C88" w:rsidP="00B7516F">
            <w:r>
              <w:t>11%</w:t>
            </w:r>
          </w:p>
        </w:tc>
        <w:tc>
          <w:tcPr>
            <w:tcW w:w="2407" w:type="dxa"/>
          </w:tcPr>
          <w:p w14:paraId="702AEF1B" w14:textId="77777777" w:rsidR="00342C88" w:rsidRDefault="00342C88" w:rsidP="00B7516F">
            <w:r>
              <w:t>15%</w:t>
            </w:r>
          </w:p>
        </w:tc>
      </w:tr>
      <w:tr w:rsidR="00342C88" w14:paraId="7AD324C4" w14:textId="77777777" w:rsidTr="00B7516F">
        <w:tc>
          <w:tcPr>
            <w:tcW w:w="2407" w:type="dxa"/>
          </w:tcPr>
          <w:p w14:paraId="0CDECB76" w14:textId="77777777" w:rsidR="00342C88" w:rsidRDefault="00342C88" w:rsidP="00B7516F">
            <w:r>
              <w:t>Likviditetspejlemærke</w:t>
            </w:r>
          </w:p>
        </w:tc>
        <w:tc>
          <w:tcPr>
            <w:tcW w:w="2407" w:type="dxa"/>
          </w:tcPr>
          <w:p w14:paraId="5A302829" w14:textId="77777777" w:rsidR="00342C88" w:rsidRDefault="00342C88" w:rsidP="00B7516F">
            <w:r>
              <w:t>&gt;100%</w:t>
            </w:r>
          </w:p>
        </w:tc>
        <w:tc>
          <w:tcPr>
            <w:tcW w:w="2407" w:type="dxa"/>
          </w:tcPr>
          <w:p w14:paraId="048192E0" w14:textId="77777777" w:rsidR="00342C88" w:rsidRDefault="00342C88" w:rsidP="00B7516F">
            <w:r>
              <w:t>383%</w:t>
            </w:r>
          </w:p>
        </w:tc>
        <w:tc>
          <w:tcPr>
            <w:tcW w:w="2407" w:type="dxa"/>
          </w:tcPr>
          <w:p w14:paraId="79EC5704" w14:textId="77777777" w:rsidR="00342C88" w:rsidRDefault="00342C88" w:rsidP="00B7516F">
            <w:r>
              <w:t>153%</w:t>
            </w:r>
          </w:p>
        </w:tc>
      </w:tr>
      <w:tr w:rsidR="00342C88" w14:paraId="350293AF" w14:textId="77777777" w:rsidTr="00B7516F">
        <w:tc>
          <w:tcPr>
            <w:tcW w:w="2407" w:type="dxa"/>
          </w:tcPr>
          <w:p w14:paraId="11367E33" w14:textId="77777777" w:rsidR="00342C88" w:rsidRDefault="00342C88" w:rsidP="00B7516F">
            <w:r>
              <w:t>Funding ratio</w:t>
            </w:r>
          </w:p>
        </w:tc>
        <w:tc>
          <w:tcPr>
            <w:tcW w:w="2407" w:type="dxa"/>
          </w:tcPr>
          <w:p w14:paraId="72941BE7" w14:textId="77777777" w:rsidR="00342C88" w:rsidRDefault="00342C88" w:rsidP="00B7516F">
            <w:r>
              <w:t>&lt;1</w:t>
            </w:r>
          </w:p>
        </w:tc>
        <w:tc>
          <w:tcPr>
            <w:tcW w:w="2407" w:type="dxa"/>
          </w:tcPr>
          <w:p w14:paraId="36FF61A8" w14:textId="77777777" w:rsidR="00342C88" w:rsidRDefault="00342C88" w:rsidP="00B7516F">
            <w:r>
              <w:t>0,50</w:t>
            </w:r>
          </w:p>
        </w:tc>
        <w:tc>
          <w:tcPr>
            <w:tcW w:w="2407" w:type="dxa"/>
          </w:tcPr>
          <w:p w14:paraId="7E5243DE" w14:textId="77777777" w:rsidR="00342C88" w:rsidRDefault="00342C88" w:rsidP="00B7516F">
            <w:r>
              <w:t>0,54</w:t>
            </w:r>
          </w:p>
        </w:tc>
      </w:tr>
    </w:tbl>
    <w:p w14:paraId="3EE87A1D" w14:textId="77777777" w:rsidR="00342C88" w:rsidRDefault="00342C88" w:rsidP="00342C88"/>
    <w:p w14:paraId="77A186B2" w14:textId="0832A703" w:rsidR="00342C88" w:rsidRDefault="00342C88" w:rsidP="00342C88">
      <w:pPr>
        <w:rPr>
          <w:highlight w:val="green"/>
        </w:rPr>
      </w:pPr>
      <w:r w:rsidRPr="003E2477">
        <w:rPr>
          <w:highlight w:val="green"/>
        </w:rPr>
        <w:t>Begge banker overholder alle grænseværdierne.</w:t>
      </w:r>
    </w:p>
    <w:p w14:paraId="50D6F6C3" w14:textId="098F68E0" w:rsidR="001F3F34" w:rsidRDefault="001F3F34" w:rsidP="001F3F34">
      <w:r w:rsidRPr="003E2477">
        <w:rPr>
          <w:highlight w:val="green"/>
        </w:rPr>
        <w:t>Danske Bank har mange flere store engagementer end Sparekassen Sjælland. Danske Bank har en negativ udlånsvækst, og deres likviditet er dårligere end Sparekassen Sjælland</w:t>
      </w:r>
      <w:r>
        <w:t>.</w:t>
      </w:r>
    </w:p>
    <w:tbl>
      <w:tblPr>
        <w:tblW w:w="9474" w:type="dxa"/>
        <w:tblInd w:w="-10" w:type="dxa"/>
        <w:tblCellMar>
          <w:left w:w="70" w:type="dxa"/>
          <w:right w:w="70" w:type="dxa"/>
        </w:tblCellMar>
        <w:tblLook w:val="04A0" w:firstRow="1" w:lastRow="0" w:firstColumn="1" w:lastColumn="0" w:noHBand="0" w:noVBand="1"/>
      </w:tblPr>
      <w:tblGrid>
        <w:gridCol w:w="6726"/>
        <w:gridCol w:w="1386"/>
        <w:gridCol w:w="1362"/>
      </w:tblGrid>
      <w:tr w:rsidR="005C4FF9" w:rsidRPr="005C4FF9" w14:paraId="751B59D0" w14:textId="77777777" w:rsidTr="005C4FF9">
        <w:trPr>
          <w:trHeight w:val="532"/>
        </w:trPr>
        <w:tc>
          <w:tcPr>
            <w:tcW w:w="9474"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19AA792" w14:textId="77777777" w:rsidR="005C4FF9" w:rsidRPr="005C4FF9" w:rsidRDefault="005C4FF9" w:rsidP="005C4FF9">
            <w:pPr>
              <w:spacing w:after="0" w:line="240" w:lineRule="auto"/>
              <w:jc w:val="center"/>
              <w:rPr>
                <w:rFonts w:ascii="Calibri" w:eastAsia="Times New Roman" w:hAnsi="Calibri" w:cs="Calibri"/>
                <w:color w:val="000000"/>
                <w:sz w:val="40"/>
                <w:szCs w:val="40"/>
                <w:lang w:eastAsia="da-DK"/>
              </w:rPr>
            </w:pPr>
            <w:r w:rsidRPr="005C4FF9">
              <w:rPr>
                <w:rFonts w:ascii="Calibri" w:eastAsia="Times New Roman" w:hAnsi="Calibri" w:cs="Calibri"/>
                <w:color w:val="000000"/>
                <w:sz w:val="36"/>
                <w:szCs w:val="40"/>
                <w:lang w:eastAsia="da-DK"/>
              </w:rPr>
              <w:t xml:space="preserve">Sammenligning Danske Bank </w:t>
            </w:r>
            <w:bookmarkStart w:id="6" w:name="_GoBack"/>
            <w:bookmarkEnd w:id="6"/>
            <w:r w:rsidRPr="005C4FF9">
              <w:rPr>
                <w:rFonts w:ascii="Calibri" w:eastAsia="Times New Roman" w:hAnsi="Calibri" w:cs="Calibri"/>
                <w:color w:val="000000"/>
                <w:sz w:val="36"/>
                <w:szCs w:val="40"/>
                <w:lang w:eastAsia="da-DK"/>
              </w:rPr>
              <w:t>og Sparekassen Sjælland 2020</w:t>
            </w:r>
          </w:p>
        </w:tc>
      </w:tr>
      <w:tr w:rsidR="005C4FF9" w:rsidRPr="005C4FF9" w14:paraId="496EF9DF" w14:textId="77777777" w:rsidTr="005C4FF9">
        <w:trPr>
          <w:trHeight w:val="532"/>
        </w:trPr>
        <w:tc>
          <w:tcPr>
            <w:tcW w:w="6726" w:type="dxa"/>
            <w:tcBorders>
              <w:top w:val="nil"/>
              <w:left w:val="single" w:sz="8" w:space="0" w:color="auto"/>
              <w:bottom w:val="single" w:sz="4" w:space="0" w:color="auto"/>
              <w:right w:val="single" w:sz="4" w:space="0" w:color="auto"/>
            </w:tcBorders>
            <w:shd w:val="clear" w:color="000000" w:fill="F4B084"/>
            <w:noWrap/>
            <w:vAlign w:val="bottom"/>
            <w:hideMark/>
          </w:tcPr>
          <w:p w14:paraId="35516F3C"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 </w:t>
            </w:r>
          </w:p>
        </w:tc>
        <w:tc>
          <w:tcPr>
            <w:tcW w:w="1386" w:type="dxa"/>
            <w:tcBorders>
              <w:top w:val="nil"/>
              <w:left w:val="nil"/>
              <w:bottom w:val="single" w:sz="4" w:space="0" w:color="auto"/>
              <w:right w:val="single" w:sz="4" w:space="0" w:color="auto"/>
            </w:tcBorders>
            <w:shd w:val="clear" w:color="000000" w:fill="F4B084"/>
            <w:noWrap/>
            <w:vAlign w:val="bottom"/>
            <w:hideMark/>
          </w:tcPr>
          <w:p w14:paraId="10250F37"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DB</w:t>
            </w:r>
          </w:p>
        </w:tc>
        <w:tc>
          <w:tcPr>
            <w:tcW w:w="1362" w:type="dxa"/>
            <w:tcBorders>
              <w:top w:val="nil"/>
              <w:left w:val="nil"/>
              <w:bottom w:val="single" w:sz="4" w:space="0" w:color="auto"/>
              <w:right w:val="single" w:sz="8" w:space="0" w:color="auto"/>
            </w:tcBorders>
            <w:shd w:val="clear" w:color="000000" w:fill="F4B084"/>
            <w:noWrap/>
            <w:vAlign w:val="bottom"/>
            <w:hideMark/>
          </w:tcPr>
          <w:p w14:paraId="78C57038"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SSF</w:t>
            </w:r>
          </w:p>
        </w:tc>
      </w:tr>
      <w:tr w:rsidR="005C4FF9" w:rsidRPr="005C4FF9" w14:paraId="086939D7" w14:textId="77777777" w:rsidTr="005C4FF9">
        <w:trPr>
          <w:trHeight w:val="532"/>
        </w:trPr>
        <w:tc>
          <w:tcPr>
            <w:tcW w:w="6726" w:type="dxa"/>
            <w:tcBorders>
              <w:top w:val="nil"/>
              <w:left w:val="single" w:sz="8" w:space="0" w:color="auto"/>
              <w:bottom w:val="single" w:sz="4" w:space="0" w:color="auto"/>
              <w:right w:val="single" w:sz="4" w:space="0" w:color="auto"/>
            </w:tcBorders>
            <w:shd w:val="clear" w:color="auto" w:fill="auto"/>
            <w:noWrap/>
            <w:vAlign w:val="bottom"/>
            <w:hideMark/>
          </w:tcPr>
          <w:p w14:paraId="4174BEA5"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Gebyrer</w:t>
            </w:r>
          </w:p>
        </w:tc>
        <w:tc>
          <w:tcPr>
            <w:tcW w:w="1386" w:type="dxa"/>
            <w:tcBorders>
              <w:top w:val="nil"/>
              <w:left w:val="nil"/>
              <w:bottom w:val="single" w:sz="4" w:space="0" w:color="auto"/>
              <w:right w:val="single" w:sz="4" w:space="0" w:color="auto"/>
            </w:tcBorders>
            <w:shd w:val="clear" w:color="auto" w:fill="auto"/>
            <w:noWrap/>
            <w:vAlign w:val="bottom"/>
            <w:hideMark/>
          </w:tcPr>
          <w:p w14:paraId="36C2A997" w14:textId="45B38A7B"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15,8 mia</w:t>
            </w:r>
            <w:r w:rsidR="00430966">
              <w:rPr>
                <w:rFonts w:ascii="Calibri" w:eastAsia="Times New Roman" w:hAnsi="Calibri" w:cs="Calibri"/>
                <w:color w:val="000000"/>
                <w:sz w:val="40"/>
                <w:szCs w:val="40"/>
                <w:lang w:eastAsia="da-DK"/>
              </w:rPr>
              <w:t>.</w:t>
            </w:r>
          </w:p>
        </w:tc>
        <w:tc>
          <w:tcPr>
            <w:tcW w:w="1362" w:type="dxa"/>
            <w:tcBorders>
              <w:top w:val="nil"/>
              <w:left w:val="nil"/>
              <w:bottom w:val="single" w:sz="4" w:space="0" w:color="auto"/>
              <w:right w:val="single" w:sz="8" w:space="0" w:color="auto"/>
            </w:tcBorders>
            <w:shd w:val="clear" w:color="auto" w:fill="auto"/>
            <w:noWrap/>
            <w:vAlign w:val="bottom"/>
            <w:hideMark/>
          </w:tcPr>
          <w:p w14:paraId="64F0E40A"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541 mio.</w:t>
            </w:r>
          </w:p>
        </w:tc>
      </w:tr>
      <w:tr w:rsidR="005C4FF9" w:rsidRPr="005C4FF9" w14:paraId="58C8ED71" w14:textId="77777777" w:rsidTr="005C4FF9">
        <w:trPr>
          <w:trHeight w:val="532"/>
        </w:trPr>
        <w:tc>
          <w:tcPr>
            <w:tcW w:w="6726" w:type="dxa"/>
            <w:tcBorders>
              <w:top w:val="nil"/>
              <w:left w:val="single" w:sz="8" w:space="0" w:color="auto"/>
              <w:bottom w:val="single" w:sz="4" w:space="0" w:color="auto"/>
              <w:right w:val="single" w:sz="4" w:space="0" w:color="auto"/>
            </w:tcBorders>
            <w:shd w:val="clear" w:color="auto" w:fill="auto"/>
            <w:noWrap/>
            <w:vAlign w:val="bottom"/>
            <w:hideMark/>
          </w:tcPr>
          <w:p w14:paraId="47DC974A"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Gebyr %</w:t>
            </w:r>
          </w:p>
        </w:tc>
        <w:tc>
          <w:tcPr>
            <w:tcW w:w="1386" w:type="dxa"/>
            <w:tcBorders>
              <w:top w:val="nil"/>
              <w:left w:val="nil"/>
              <w:bottom w:val="single" w:sz="4" w:space="0" w:color="auto"/>
              <w:right w:val="single" w:sz="4" w:space="0" w:color="auto"/>
            </w:tcBorders>
            <w:shd w:val="clear" w:color="auto" w:fill="auto"/>
            <w:noWrap/>
            <w:vAlign w:val="bottom"/>
            <w:hideMark/>
          </w:tcPr>
          <w:p w14:paraId="74A4D5D6"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35,0%</w:t>
            </w:r>
          </w:p>
        </w:tc>
        <w:tc>
          <w:tcPr>
            <w:tcW w:w="1362" w:type="dxa"/>
            <w:tcBorders>
              <w:top w:val="nil"/>
              <w:left w:val="nil"/>
              <w:bottom w:val="single" w:sz="4" w:space="0" w:color="auto"/>
              <w:right w:val="single" w:sz="8" w:space="0" w:color="auto"/>
            </w:tcBorders>
            <w:shd w:val="clear" w:color="auto" w:fill="auto"/>
            <w:noWrap/>
            <w:vAlign w:val="bottom"/>
            <w:hideMark/>
          </w:tcPr>
          <w:p w14:paraId="72AC586B"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48,0%</w:t>
            </w:r>
          </w:p>
        </w:tc>
      </w:tr>
      <w:tr w:rsidR="005C4FF9" w:rsidRPr="005C4FF9" w14:paraId="2A6CB9BD" w14:textId="77777777" w:rsidTr="005C4FF9">
        <w:trPr>
          <w:trHeight w:val="532"/>
        </w:trPr>
        <w:tc>
          <w:tcPr>
            <w:tcW w:w="6726" w:type="dxa"/>
            <w:tcBorders>
              <w:top w:val="nil"/>
              <w:left w:val="single" w:sz="8" w:space="0" w:color="auto"/>
              <w:bottom w:val="single" w:sz="4" w:space="0" w:color="auto"/>
              <w:right w:val="single" w:sz="4" w:space="0" w:color="auto"/>
            </w:tcBorders>
            <w:shd w:val="clear" w:color="auto" w:fill="auto"/>
            <w:noWrap/>
            <w:vAlign w:val="bottom"/>
            <w:hideMark/>
          </w:tcPr>
          <w:p w14:paraId="2F49E989"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Overskudsgrad</w:t>
            </w:r>
          </w:p>
        </w:tc>
        <w:tc>
          <w:tcPr>
            <w:tcW w:w="1386" w:type="dxa"/>
            <w:tcBorders>
              <w:top w:val="nil"/>
              <w:left w:val="nil"/>
              <w:bottom w:val="single" w:sz="4" w:space="0" w:color="auto"/>
              <w:right w:val="single" w:sz="4" w:space="0" w:color="auto"/>
            </w:tcBorders>
            <w:shd w:val="clear" w:color="auto" w:fill="auto"/>
            <w:noWrap/>
            <w:vAlign w:val="bottom"/>
            <w:hideMark/>
          </w:tcPr>
          <w:p w14:paraId="4190EC4F"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30,0%</w:t>
            </w:r>
          </w:p>
        </w:tc>
        <w:tc>
          <w:tcPr>
            <w:tcW w:w="1362" w:type="dxa"/>
            <w:tcBorders>
              <w:top w:val="nil"/>
              <w:left w:val="nil"/>
              <w:bottom w:val="single" w:sz="4" w:space="0" w:color="auto"/>
              <w:right w:val="single" w:sz="8" w:space="0" w:color="auto"/>
            </w:tcBorders>
            <w:shd w:val="clear" w:color="auto" w:fill="auto"/>
            <w:noWrap/>
            <w:vAlign w:val="bottom"/>
            <w:hideMark/>
          </w:tcPr>
          <w:p w14:paraId="6FC66DBC"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22,0%</w:t>
            </w:r>
          </w:p>
        </w:tc>
      </w:tr>
      <w:tr w:rsidR="005C4FF9" w:rsidRPr="005C4FF9" w14:paraId="6C8C97AB" w14:textId="77777777" w:rsidTr="005C4FF9">
        <w:trPr>
          <w:trHeight w:val="532"/>
        </w:trPr>
        <w:tc>
          <w:tcPr>
            <w:tcW w:w="6726" w:type="dxa"/>
            <w:tcBorders>
              <w:top w:val="nil"/>
              <w:left w:val="single" w:sz="8" w:space="0" w:color="auto"/>
              <w:bottom w:val="single" w:sz="4" w:space="0" w:color="auto"/>
              <w:right w:val="single" w:sz="4" w:space="0" w:color="auto"/>
            </w:tcBorders>
            <w:shd w:val="clear" w:color="auto" w:fill="auto"/>
            <w:noWrap/>
            <w:vAlign w:val="bottom"/>
            <w:hideMark/>
          </w:tcPr>
          <w:p w14:paraId="281E45A1"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AG</w:t>
            </w:r>
          </w:p>
        </w:tc>
        <w:tc>
          <w:tcPr>
            <w:tcW w:w="1386" w:type="dxa"/>
            <w:tcBorders>
              <w:top w:val="nil"/>
              <w:left w:val="nil"/>
              <w:bottom w:val="single" w:sz="4" w:space="0" w:color="auto"/>
              <w:right w:val="single" w:sz="4" w:space="0" w:color="auto"/>
            </w:tcBorders>
            <w:shd w:val="clear" w:color="auto" w:fill="auto"/>
            <w:noWrap/>
            <w:vAlign w:val="bottom"/>
            <w:hideMark/>
          </w:tcPr>
          <w:p w14:paraId="2C61ED48"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0,4%</w:t>
            </w:r>
          </w:p>
        </w:tc>
        <w:tc>
          <w:tcPr>
            <w:tcW w:w="1362" w:type="dxa"/>
            <w:tcBorders>
              <w:top w:val="nil"/>
              <w:left w:val="nil"/>
              <w:bottom w:val="single" w:sz="4" w:space="0" w:color="auto"/>
              <w:right w:val="single" w:sz="8" w:space="0" w:color="auto"/>
            </w:tcBorders>
            <w:shd w:val="clear" w:color="auto" w:fill="auto"/>
            <w:noWrap/>
            <w:vAlign w:val="bottom"/>
            <w:hideMark/>
          </w:tcPr>
          <w:p w14:paraId="43D8BB0C"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0,9%</w:t>
            </w:r>
          </w:p>
        </w:tc>
      </w:tr>
      <w:tr w:rsidR="005C4FF9" w:rsidRPr="005C4FF9" w14:paraId="2003CF68" w14:textId="77777777" w:rsidTr="005C4FF9">
        <w:trPr>
          <w:trHeight w:val="532"/>
        </w:trPr>
        <w:tc>
          <w:tcPr>
            <w:tcW w:w="6726" w:type="dxa"/>
            <w:tcBorders>
              <w:top w:val="nil"/>
              <w:left w:val="single" w:sz="8" w:space="0" w:color="auto"/>
              <w:bottom w:val="single" w:sz="4" w:space="0" w:color="auto"/>
              <w:right w:val="single" w:sz="4" w:space="0" w:color="auto"/>
            </w:tcBorders>
            <w:shd w:val="clear" w:color="auto" w:fill="auto"/>
            <w:noWrap/>
            <w:vAlign w:val="bottom"/>
            <w:hideMark/>
          </w:tcPr>
          <w:p w14:paraId="68A372EE"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Solvensprocenten</w:t>
            </w:r>
          </w:p>
        </w:tc>
        <w:tc>
          <w:tcPr>
            <w:tcW w:w="1386" w:type="dxa"/>
            <w:tcBorders>
              <w:top w:val="nil"/>
              <w:left w:val="nil"/>
              <w:bottom w:val="single" w:sz="4" w:space="0" w:color="auto"/>
              <w:right w:val="single" w:sz="4" w:space="0" w:color="auto"/>
            </w:tcBorders>
            <w:shd w:val="clear" w:color="auto" w:fill="auto"/>
            <w:noWrap/>
            <w:vAlign w:val="bottom"/>
            <w:hideMark/>
          </w:tcPr>
          <w:p w14:paraId="617CFF62"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22,7%</w:t>
            </w:r>
          </w:p>
        </w:tc>
        <w:tc>
          <w:tcPr>
            <w:tcW w:w="1362" w:type="dxa"/>
            <w:tcBorders>
              <w:top w:val="nil"/>
              <w:left w:val="nil"/>
              <w:bottom w:val="single" w:sz="4" w:space="0" w:color="auto"/>
              <w:right w:val="single" w:sz="8" w:space="0" w:color="auto"/>
            </w:tcBorders>
            <w:shd w:val="clear" w:color="auto" w:fill="auto"/>
            <w:noWrap/>
            <w:vAlign w:val="bottom"/>
            <w:hideMark/>
          </w:tcPr>
          <w:p w14:paraId="135E3429"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20,1%</w:t>
            </w:r>
          </w:p>
        </w:tc>
      </w:tr>
      <w:tr w:rsidR="005C4FF9" w:rsidRPr="005C4FF9" w14:paraId="7B2100FA" w14:textId="77777777" w:rsidTr="005C4FF9">
        <w:trPr>
          <w:trHeight w:val="532"/>
        </w:trPr>
        <w:tc>
          <w:tcPr>
            <w:tcW w:w="6726" w:type="dxa"/>
            <w:tcBorders>
              <w:top w:val="nil"/>
              <w:left w:val="single" w:sz="8" w:space="0" w:color="auto"/>
              <w:bottom w:val="single" w:sz="4" w:space="0" w:color="auto"/>
              <w:right w:val="single" w:sz="4" w:space="0" w:color="auto"/>
            </w:tcBorders>
            <w:shd w:val="clear" w:color="auto" w:fill="auto"/>
            <w:noWrap/>
            <w:vAlign w:val="bottom"/>
            <w:hideMark/>
          </w:tcPr>
          <w:p w14:paraId="4D387956"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Soliditetsgraden</w:t>
            </w:r>
          </w:p>
        </w:tc>
        <w:tc>
          <w:tcPr>
            <w:tcW w:w="1386" w:type="dxa"/>
            <w:tcBorders>
              <w:top w:val="nil"/>
              <w:left w:val="nil"/>
              <w:bottom w:val="single" w:sz="4" w:space="0" w:color="auto"/>
              <w:right w:val="single" w:sz="4" w:space="0" w:color="auto"/>
            </w:tcBorders>
            <w:shd w:val="clear" w:color="auto" w:fill="auto"/>
            <w:noWrap/>
            <w:vAlign w:val="bottom"/>
            <w:hideMark/>
          </w:tcPr>
          <w:p w14:paraId="0A93A6B2"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4,0%</w:t>
            </w:r>
          </w:p>
        </w:tc>
        <w:tc>
          <w:tcPr>
            <w:tcW w:w="1362" w:type="dxa"/>
            <w:tcBorders>
              <w:top w:val="nil"/>
              <w:left w:val="nil"/>
              <w:bottom w:val="single" w:sz="4" w:space="0" w:color="auto"/>
              <w:right w:val="single" w:sz="8" w:space="0" w:color="auto"/>
            </w:tcBorders>
            <w:shd w:val="clear" w:color="auto" w:fill="auto"/>
            <w:noWrap/>
            <w:vAlign w:val="bottom"/>
            <w:hideMark/>
          </w:tcPr>
          <w:p w14:paraId="5D6EB4F5"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13,0%</w:t>
            </w:r>
          </w:p>
        </w:tc>
      </w:tr>
      <w:tr w:rsidR="005C4FF9" w:rsidRPr="005C4FF9" w14:paraId="618764D1" w14:textId="77777777" w:rsidTr="005C4FF9">
        <w:trPr>
          <w:trHeight w:val="532"/>
        </w:trPr>
        <w:tc>
          <w:tcPr>
            <w:tcW w:w="6726" w:type="dxa"/>
            <w:tcBorders>
              <w:top w:val="nil"/>
              <w:left w:val="single" w:sz="8" w:space="0" w:color="auto"/>
              <w:bottom w:val="single" w:sz="4" w:space="0" w:color="auto"/>
              <w:right w:val="single" w:sz="4" w:space="0" w:color="auto"/>
            </w:tcBorders>
            <w:shd w:val="clear" w:color="auto" w:fill="auto"/>
            <w:noWrap/>
            <w:vAlign w:val="bottom"/>
            <w:hideMark/>
          </w:tcPr>
          <w:p w14:paraId="3C2F7F31" w14:textId="319B0AF1"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Kurs /Indre</w:t>
            </w:r>
            <w:r w:rsidR="00466B44">
              <w:rPr>
                <w:rFonts w:ascii="Calibri" w:eastAsia="Times New Roman" w:hAnsi="Calibri" w:cs="Calibri"/>
                <w:color w:val="000000"/>
                <w:sz w:val="40"/>
                <w:szCs w:val="40"/>
                <w:lang w:eastAsia="da-DK"/>
              </w:rPr>
              <w:t xml:space="preserve"> </w:t>
            </w:r>
            <w:r w:rsidRPr="005C4FF9">
              <w:rPr>
                <w:rFonts w:ascii="Calibri" w:eastAsia="Times New Roman" w:hAnsi="Calibri" w:cs="Calibri"/>
                <w:color w:val="000000"/>
                <w:sz w:val="40"/>
                <w:szCs w:val="40"/>
                <w:lang w:eastAsia="da-DK"/>
              </w:rPr>
              <w:t>værdi</w:t>
            </w:r>
          </w:p>
        </w:tc>
        <w:tc>
          <w:tcPr>
            <w:tcW w:w="1386" w:type="dxa"/>
            <w:tcBorders>
              <w:top w:val="nil"/>
              <w:left w:val="nil"/>
              <w:bottom w:val="single" w:sz="4" w:space="0" w:color="auto"/>
              <w:right w:val="single" w:sz="4" w:space="0" w:color="auto"/>
            </w:tcBorders>
            <w:shd w:val="clear" w:color="auto" w:fill="auto"/>
            <w:noWrap/>
            <w:vAlign w:val="bottom"/>
            <w:hideMark/>
          </w:tcPr>
          <w:p w14:paraId="052F44C2"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0,58 kr.</w:t>
            </w:r>
          </w:p>
        </w:tc>
        <w:tc>
          <w:tcPr>
            <w:tcW w:w="1362" w:type="dxa"/>
            <w:tcBorders>
              <w:top w:val="nil"/>
              <w:left w:val="nil"/>
              <w:bottom w:val="single" w:sz="4" w:space="0" w:color="auto"/>
              <w:right w:val="single" w:sz="8" w:space="0" w:color="auto"/>
            </w:tcBorders>
            <w:shd w:val="clear" w:color="auto" w:fill="auto"/>
            <w:noWrap/>
            <w:vAlign w:val="bottom"/>
            <w:hideMark/>
          </w:tcPr>
          <w:p w14:paraId="016D84AC"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0,54 kr.</w:t>
            </w:r>
          </w:p>
        </w:tc>
      </w:tr>
      <w:tr w:rsidR="005C4FF9" w:rsidRPr="005C4FF9" w14:paraId="4651B4CA" w14:textId="77777777" w:rsidTr="005C4FF9">
        <w:trPr>
          <w:trHeight w:val="532"/>
        </w:trPr>
        <w:tc>
          <w:tcPr>
            <w:tcW w:w="6726" w:type="dxa"/>
            <w:tcBorders>
              <w:top w:val="nil"/>
              <w:left w:val="single" w:sz="8" w:space="0" w:color="auto"/>
              <w:bottom w:val="single" w:sz="4" w:space="0" w:color="auto"/>
              <w:right w:val="single" w:sz="4" w:space="0" w:color="auto"/>
            </w:tcBorders>
            <w:shd w:val="clear" w:color="auto" w:fill="auto"/>
            <w:noWrap/>
            <w:vAlign w:val="bottom"/>
            <w:hideMark/>
          </w:tcPr>
          <w:p w14:paraId="223397D2"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Egenkapitalens forrentning</w:t>
            </w:r>
          </w:p>
        </w:tc>
        <w:tc>
          <w:tcPr>
            <w:tcW w:w="1386" w:type="dxa"/>
            <w:tcBorders>
              <w:top w:val="nil"/>
              <w:left w:val="nil"/>
              <w:bottom w:val="single" w:sz="4" w:space="0" w:color="auto"/>
              <w:right w:val="single" w:sz="4" w:space="0" w:color="auto"/>
            </w:tcBorders>
            <w:shd w:val="clear" w:color="auto" w:fill="auto"/>
            <w:noWrap/>
            <w:vAlign w:val="bottom"/>
            <w:hideMark/>
          </w:tcPr>
          <w:p w14:paraId="305415D4"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8,8%</w:t>
            </w:r>
          </w:p>
        </w:tc>
        <w:tc>
          <w:tcPr>
            <w:tcW w:w="1362" w:type="dxa"/>
            <w:tcBorders>
              <w:top w:val="nil"/>
              <w:left w:val="nil"/>
              <w:bottom w:val="single" w:sz="4" w:space="0" w:color="auto"/>
              <w:right w:val="single" w:sz="8" w:space="0" w:color="auto"/>
            </w:tcBorders>
            <w:shd w:val="clear" w:color="auto" w:fill="auto"/>
            <w:noWrap/>
            <w:vAlign w:val="bottom"/>
            <w:hideMark/>
          </w:tcPr>
          <w:p w14:paraId="24D624E2"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8,0%</w:t>
            </w:r>
          </w:p>
        </w:tc>
      </w:tr>
      <w:tr w:rsidR="005C4FF9" w:rsidRPr="005C4FF9" w14:paraId="00A5D070" w14:textId="77777777" w:rsidTr="005C4FF9">
        <w:trPr>
          <w:trHeight w:val="542"/>
        </w:trPr>
        <w:tc>
          <w:tcPr>
            <w:tcW w:w="6726" w:type="dxa"/>
            <w:tcBorders>
              <w:top w:val="nil"/>
              <w:left w:val="single" w:sz="8" w:space="0" w:color="auto"/>
              <w:bottom w:val="single" w:sz="8" w:space="0" w:color="auto"/>
              <w:right w:val="single" w:sz="4" w:space="0" w:color="auto"/>
            </w:tcBorders>
            <w:shd w:val="clear" w:color="auto" w:fill="auto"/>
            <w:noWrap/>
            <w:vAlign w:val="bottom"/>
            <w:hideMark/>
          </w:tcPr>
          <w:p w14:paraId="4791762F" w14:textId="77777777" w:rsidR="005C4FF9" w:rsidRPr="005C4FF9" w:rsidRDefault="005C4FF9" w:rsidP="005C4FF9">
            <w:pPr>
              <w:spacing w:after="0" w:line="240" w:lineRule="auto"/>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Medarbejdere</w:t>
            </w:r>
          </w:p>
        </w:tc>
        <w:tc>
          <w:tcPr>
            <w:tcW w:w="1386" w:type="dxa"/>
            <w:tcBorders>
              <w:top w:val="nil"/>
              <w:left w:val="nil"/>
              <w:bottom w:val="single" w:sz="8" w:space="0" w:color="auto"/>
              <w:right w:val="single" w:sz="4" w:space="0" w:color="auto"/>
            </w:tcBorders>
            <w:shd w:val="clear" w:color="auto" w:fill="auto"/>
            <w:noWrap/>
            <w:vAlign w:val="bottom"/>
            <w:hideMark/>
          </w:tcPr>
          <w:p w14:paraId="326FC9E2"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22006</w:t>
            </w:r>
          </w:p>
        </w:tc>
        <w:tc>
          <w:tcPr>
            <w:tcW w:w="1362" w:type="dxa"/>
            <w:tcBorders>
              <w:top w:val="nil"/>
              <w:left w:val="nil"/>
              <w:bottom w:val="single" w:sz="8" w:space="0" w:color="auto"/>
              <w:right w:val="single" w:sz="8" w:space="0" w:color="auto"/>
            </w:tcBorders>
            <w:shd w:val="clear" w:color="auto" w:fill="auto"/>
            <w:noWrap/>
            <w:vAlign w:val="bottom"/>
            <w:hideMark/>
          </w:tcPr>
          <w:p w14:paraId="05A0B0A8" w14:textId="77777777" w:rsidR="005C4FF9" w:rsidRPr="005C4FF9" w:rsidRDefault="005C4FF9" w:rsidP="005C4FF9">
            <w:pPr>
              <w:spacing w:after="0" w:line="240" w:lineRule="auto"/>
              <w:jc w:val="right"/>
              <w:rPr>
                <w:rFonts w:ascii="Calibri" w:eastAsia="Times New Roman" w:hAnsi="Calibri" w:cs="Calibri"/>
                <w:color w:val="000000"/>
                <w:sz w:val="40"/>
                <w:szCs w:val="40"/>
                <w:lang w:eastAsia="da-DK"/>
              </w:rPr>
            </w:pPr>
            <w:r w:rsidRPr="005C4FF9">
              <w:rPr>
                <w:rFonts w:ascii="Calibri" w:eastAsia="Times New Roman" w:hAnsi="Calibri" w:cs="Calibri"/>
                <w:color w:val="000000"/>
                <w:sz w:val="40"/>
                <w:szCs w:val="40"/>
                <w:lang w:eastAsia="da-DK"/>
              </w:rPr>
              <w:t>561</w:t>
            </w:r>
          </w:p>
        </w:tc>
      </w:tr>
    </w:tbl>
    <w:p w14:paraId="20FE5EE0" w14:textId="32B81BEE" w:rsidR="00342C88" w:rsidRDefault="00342C88" w:rsidP="00FC5DD2">
      <w:pPr>
        <w:pStyle w:val="Overskrift1"/>
      </w:pPr>
    </w:p>
    <w:p w14:paraId="5C1436FA" w14:textId="18AFBC93" w:rsidR="00342C88" w:rsidRDefault="00430966" w:rsidP="00342C88">
      <w:r>
        <w:t xml:space="preserve">I Sparekassen Sjælland udgør gebyrindtægterne 48%, Danske Bank ligger på kun 35%. </w:t>
      </w:r>
    </w:p>
    <w:p w14:paraId="7A5A2CD9" w14:textId="37DE3017" w:rsidR="00430966" w:rsidRDefault="00430966" w:rsidP="00342C88">
      <w:r>
        <w:t>Danske bank har 40 gange så mange ansatte i forhold til Sparekassen Sjælland.</w:t>
      </w:r>
    </w:p>
    <w:p w14:paraId="2D80968C" w14:textId="68A5D36D" w:rsidR="00FE30D8" w:rsidRDefault="00FE30D8" w:rsidP="00FE30D8">
      <w:r>
        <w:t xml:space="preserve">Soliditetsgraden er ca. 3 gange højere i Sparekassen Sjælland (13%) i forhold til Danske Bank som kun ligger på 4%. Solvensen </w:t>
      </w:r>
      <w:r>
        <w:t xml:space="preserve">er </w:t>
      </w:r>
      <w:r>
        <w:t>på lidt over 20% i begge banker.</w:t>
      </w:r>
    </w:p>
    <w:p w14:paraId="172F9C55" w14:textId="28CFB145" w:rsidR="001F3F34" w:rsidRDefault="00430966">
      <w:pPr>
        <w:rPr>
          <w:rFonts w:asciiTheme="majorHAnsi" w:eastAsiaTheme="majorEastAsia" w:hAnsiTheme="majorHAnsi" w:cstheme="majorBidi"/>
          <w:color w:val="2E74B5" w:themeColor="accent1" w:themeShade="BF"/>
          <w:sz w:val="32"/>
          <w:szCs w:val="32"/>
        </w:rPr>
      </w:pPr>
      <w:r>
        <w:t>Udover dette er bankerne meget lige, meget lav afkastningsgrad, egenkapitalens forrentning på ca. 8%, K/I under 1, overskudsgrad 22-30%.</w:t>
      </w:r>
    </w:p>
    <w:p w14:paraId="736E403B" w14:textId="1A7E0D39" w:rsidR="00C772E0" w:rsidRDefault="006A4C52" w:rsidP="00FE30D8">
      <w:pPr>
        <w:pStyle w:val="Overskrift1"/>
      </w:pPr>
      <w:bookmarkStart w:id="7" w:name="_Toc71097341"/>
      <w:r>
        <w:lastRenderedPageBreak/>
        <w:t>5</w:t>
      </w:r>
      <w:r w:rsidR="00342C88" w:rsidRPr="00342C88">
        <w:t xml:space="preserve">.0 </w:t>
      </w:r>
      <w:r w:rsidR="00FE30D8">
        <w:t xml:space="preserve">Eksempel på banker som ikke overholder </w:t>
      </w:r>
      <w:bookmarkEnd w:id="7"/>
      <w:r w:rsidR="00FE30D8">
        <w:t>tilsynsdiamanten</w:t>
      </w:r>
    </w:p>
    <w:p w14:paraId="58694864" w14:textId="77777777" w:rsidR="00FE30D8" w:rsidRPr="00FE30D8" w:rsidRDefault="00FE30D8" w:rsidP="00FE30D8"/>
    <w:p w14:paraId="7954976A" w14:textId="7A5C303E" w:rsidR="001F3F34" w:rsidRDefault="001F3F34" w:rsidP="00C5588F">
      <w:r>
        <w:t xml:space="preserve">Det er Finanstilsynet som overvåger </w:t>
      </w:r>
      <w:r w:rsidR="00402218">
        <w:t>om de enkelte banker overholder</w:t>
      </w:r>
      <w:r w:rsidR="0069296C">
        <w:t xml:space="preserve"> tilsynsdiamanten. Pr. 31/12 -2019 var der kun 5 banker som ikke overholdt tilsynsdiamanten.</w:t>
      </w:r>
      <w:r>
        <w:t xml:space="preserve"> </w:t>
      </w:r>
    </w:p>
    <w:p w14:paraId="7A0A3F7D" w14:textId="4215DEE4" w:rsidR="00AF39E8" w:rsidRDefault="00F73124" w:rsidP="00C5588F">
      <w:r>
        <w:rPr>
          <w:noProof/>
        </w:rPr>
        <w:drawing>
          <wp:inline distT="0" distB="0" distL="0" distR="0" wp14:anchorId="5C14A02D" wp14:editId="30C8A9A5">
            <wp:extent cx="6120130" cy="167703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677035"/>
                    </a:xfrm>
                    <a:prstGeom prst="rect">
                      <a:avLst/>
                    </a:prstGeom>
                  </pic:spPr>
                </pic:pic>
              </a:graphicData>
            </a:graphic>
          </wp:inline>
        </w:drawing>
      </w:r>
    </w:p>
    <w:p w14:paraId="35A75D04" w14:textId="09E3F7C3" w:rsidR="00AF39E8" w:rsidRDefault="00184661" w:rsidP="00C5588F">
      <w:pPr>
        <w:rPr>
          <w:noProof/>
          <w:lang w:eastAsia="da-DK"/>
        </w:rPr>
      </w:pPr>
      <w:r>
        <w:rPr>
          <w:noProof/>
          <w:lang w:eastAsia="da-DK"/>
        </w:rPr>
        <w:t>Et eksempel på Finanstilsynests rapport vedrørende Faster Andelskasse:</w:t>
      </w:r>
    </w:p>
    <w:p w14:paraId="09A49CD5" w14:textId="6D641168" w:rsidR="00184661" w:rsidRDefault="00FE30D8" w:rsidP="00C5588F">
      <w:pPr>
        <w:rPr>
          <w:noProof/>
          <w:lang w:eastAsia="da-DK"/>
        </w:rPr>
      </w:pPr>
      <w:hyperlink r:id="rId27" w:history="1">
        <w:r w:rsidRPr="00E86E36">
          <w:rPr>
            <w:rStyle w:val="Hyperlink"/>
            <w:noProof/>
            <w:lang w:eastAsia="da-DK"/>
          </w:rPr>
          <w:t>https://www.faster.dk/</w:t>
        </w:r>
      </w:hyperlink>
    </w:p>
    <w:p w14:paraId="4B50D7AB" w14:textId="77777777" w:rsidR="00184661" w:rsidRDefault="00FE30D8" w:rsidP="00C5588F">
      <w:pPr>
        <w:rPr>
          <w:noProof/>
          <w:lang w:eastAsia="da-DK"/>
        </w:rPr>
      </w:pPr>
      <w:hyperlink r:id="rId28" w:history="1">
        <w:r w:rsidR="00184661" w:rsidRPr="00184661">
          <w:rPr>
            <w:rStyle w:val="Hyperlink"/>
            <w:noProof/>
            <w:lang w:eastAsia="da-DK"/>
          </w:rPr>
          <w:t>Faster årsrapport 2019</w:t>
        </w:r>
      </w:hyperlink>
    </w:p>
    <w:p w14:paraId="20647177" w14:textId="032A53F8" w:rsidR="00184661" w:rsidRDefault="00FE30D8" w:rsidP="00C5588F">
      <w:pPr>
        <w:rPr>
          <w:noProof/>
          <w:lang w:eastAsia="da-DK"/>
        </w:rPr>
      </w:pPr>
      <w:hyperlink r:id="rId29" w:history="1">
        <w:r w:rsidR="00184661">
          <w:rPr>
            <w:rStyle w:val="Hyperlink"/>
            <w:noProof/>
            <w:lang w:eastAsia="da-DK"/>
          </w:rPr>
          <w:t>F</w:t>
        </w:r>
        <w:r w:rsidR="00184661" w:rsidRPr="00184661">
          <w:rPr>
            <w:rStyle w:val="Hyperlink"/>
            <w:noProof/>
            <w:lang w:eastAsia="da-DK"/>
          </w:rPr>
          <w:t>inanstilsyne</w:t>
        </w:r>
        <w:r w:rsidR="00184661">
          <w:rPr>
            <w:rStyle w:val="Hyperlink"/>
            <w:noProof/>
            <w:lang w:eastAsia="da-DK"/>
          </w:rPr>
          <w:t>ts</w:t>
        </w:r>
        <w:r w:rsidR="00184661" w:rsidRPr="00184661">
          <w:rPr>
            <w:rStyle w:val="Hyperlink"/>
            <w:noProof/>
            <w:lang w:eastAsia="da-DK"/>
          </w:rPr>
          <w:t xml:space="preserve"> rapport Faster Andelskasse</w:t>
        </w:r>
      </w:hyperlink>
    </w:p>
    <w:p w14:paraId="12C5870C" w14:textId="56F472BB" w:rsidR="00184661" w:rsidRDefault="00184661" w:rsidP="00C5588F">
      <w:pPr>
        <w:rPr>
          <w:noProof/>
          <w:lang w:eastAsia="da-DK"/>
        </w:rPr>
      </w:pPr>
      <w:r>
        <w:rPr>
          <w:noProof/>
          <w:lang w:eastAsia="da-DK"/>
        </w:rPr>
        <w:t>Finanstilsynet giver påbud om at forholdene skal bringes i orden.</w:t>
      </w:r>
    </w:p>
    <w:p w14:paraId="7AE24619" w14:textId="77777777" w:rsidR="00184661" w:rsidRDefault="00184661" w:rsidP="00C5588F">
      <w:pPr>
        <w:rPr>
          <w:noProof/>
          <w:lang w:eastAsia="da-DK"/>
        </w:rPr>
      </w:pPr>
    </w:p>
    <w:p w14:paraId="7FE2AC86" w14:textId="77777777" w:rsidR="00E27BF9" w:rsidRPr="00E27BF9" w:rsidRDefault="00E27BF9" w:rsidP="00E27BF9"/>
    <w:p w14:paraId="24B81EEE" w14:textId="07830251" w:rsidR="001D1382" w:rsidRDefault="001D1382">
      <w:pPr>
        <w:rPr>
          <w:sz w:val="32"/>
        </w:rPr>
      </w:pPr>
    </w:p>
    <w:p w14:paraId="46874D61" w14:textId="77777777" w:rsidR="00C80CCA" w:rsidRDefault="00C80CCA">
      <w:pPr>
        <w:rPr>
          <w:sz w:val="32"/>
        </w:rPr>
      </w:pPr>
    </w:p>
    <w:sectPr w:rsidR="00C80CCA" w:rsidSect="00AE2669">
      <w:pgSz w:w="11906" w:h="16838"/>
      <w:pgMar w:top="1701" w:right="1134" w:bottom="1701"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3011B"/>
    <w:multiLevelType w:val="hybridMultilevel"/>
    <w:tmpl w:val="152227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8712BEC"/>
    <w:multiLevelType w:val="hybridMultilevel"/>
    <w:tmpl w:val="816201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AB1490D"/>
    <w:multiLevelType w:val="hybridMultilevel"/>
    <w:tmpl w:val="7AEAE8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42D31B5"/>
    <w:multiLevelType w:val="hybridMultilevel"/>
    <w:tmpl w:val="5DC85F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723425F"/>
    <w:multiLevelType w:val="multilevel"/>
    <w:tmpl w:val="0562ED1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C59337B"/>
    <w:multiLevelType w:val="hybridMultilevel"/>
    <w:tmpl w:val="5914B8B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52A96FB5"/>
    <w:multiLevelType w:val="multilevel"/>
    <w:tmpl w:val="65F86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CC152C"/>
    <w:multiLevelType w:val="hybridMultilevel"/>
    <w:tmpl w:val="E4680ED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7DA3972"/>
    <w:multiLevelType w:val="hybridMultilevel"/>
    <w:tmpl w:val="2C3EA5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2"/>
  </w:num>
  <w:num w:numId="5">
    <w:abstractNumId w:val="5"/>
  </w:num>
  <w:num w:numId="6">
    <w:abstractNumId w:val="7"/>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B9"/>
    <w:rsid w:val="00043D01"/>
    <w:rsid w:val="00072114"/>
    <w:rsid w:val="000831A5"/>
    <w:rsid w:val="00094CAC"/>
    <w:rsid w:val="000F15B7"/>
    <w:rsid w:val="00101E4D"/>
    <w:rsid w:val="00103AB2"/>
    <w:rsid w:val="001108F7"/>
    <w:rsid w:val="00112E5F"/>
    <w:rsid w:val="00116761"/>
    <w:rsid w:val="00132F86"/>
    <w:rsid w:val="0014475D"/>
    <w:rsid w:val="00151BDB"/>
    <w:rsid w:val="00165199"/>
    <w:rsid w:val="00184661"/>
    <w:rsid w:val="001A5F36"/>
    <w:rsid w:val="001D1382"/>
    <w:rsid w:val="001F3F34"/>
    <w:rsid w:val="002B5F1E"/>
    <w:rsid w:val="003026B6"/>
    <w:rsid w:val="00306AC9"/>
    <w:rsid w:val="00342C88"/>
    <w:rsid w:val="00381180"/>
    <w:rsid w:val="003E2477"/>
    <w:rsid w:val="003E252C"/>
    <w:rsid w:val="00402218"/>
    <w:rsid w:val="00425389"/>
    <w:rsid w:val="00430966"/>
    <w:rsid w:val="00430FE5"/>
    <w:rsid w:val="00466B44"/>
    <w:rsid w:val="004A105C"/>
    <w:rsid w:val="004B1F81"/>
    <w:rsid w:val="004E1539"/>
    <w:rsid w:val="005475C2"/>
    <w:rsid w:val="005520CD"/>
    <w:rsid w:val="0056039C"/>
    <w:rsid w:val="005A2BAD"/>
    <w:rsid w:val="005B25A2"/>
    <w:rsid w:val="005C4FF9"/>
    <w:rsid w:val="005E2472"/>
    <w:rsid w:val="00630279"/>
    <w:rsid w:val="00642606"/>
    <w:rsid w:val="00661CE7"/>
    <w:rsid w:val="0069296C"/>
    <w:rsid w:val="006A4C52"/>
    <w:rsid w:val="006D19FA"/>
    <w:rsid w:val="006F1D0F"/>
    <w:rsid w:val="00703779"/>
    <w:rsid w:val="00745DD1"/>
    <w:rsid w:val="007A0609"/>
    <w:rsid w:val="007B233D"/>
    <w:rsid w:val="007C216D"/>
    <w:rsid w:val="007C3F00"/>
    <w:rsid w:val="007D5DD7"/>
    <w:rsid w:val="00801B38"/>
    <w:rsid w:val="008331BE"/>
    <w:rsid w:val="0089697F"/>
    <w:rsid w:val="009066D7"/>
    <w:rsid w:val="00A11367"/>
    <w:rsid w:val="00A40BC9"/>
    <w:rsid w:val="00A66565"/>
    <w:rsid w:val="00A81220"/>
    <w:rsid w:val="00AE2669"/>
    <w:rsid w:val="00AF39E8"/>
    <w:rsid w:val="00B17E07"/>
    <w:rsid w:val="00B365E3"/>
    <w:rsid w:val="00B97B4D"/>
    <w:rsid w:val="00C03F8C"/>
    <w:rsid w:val="00C221E7"/>
    <w:rsid w:val="00C256D4"/>
    <w:rsid w:val="00C32F2F"/>
    <w:rsid w:val="00C33618"/>
    <w:rsid w:val="00C5588F"/>
    <w:rsid w:val="00C772E0"/>
    <w:rsid w:val="00C80CCA"/>
    <w:rsid w:val="00CC5999"/>
    <w:rsid w:val="00CE56C6"/>
    <w:rsid w:val="00D048E4"/>
    <w:rsid w:val="00D60BA9"/>
    <w:rsid w:val="00DA67F4"/>
    <w:rsid w:val="00DA6DB9"/>
    <w:rsid w:val="00DB45E7"/>
    <w:rsid w:val="00DD4244"/>
    <w:rsid w:val="00E25CBC"/>
    <w:rsid w:val="00E27BF9"/>
    <w:rsid w:val="00E57819"/>
    <w:rsid w:val="00EC204E"/>
    <w:rsid w:val="00EE5783"/>
    <w:rsid w:val="00F11406"/>
    <w:rsid w:val="00F652A5"/>
    <w:rsid w:val="00F73124"/>
    <w:rsid w:val="00FC13C5"/>
    <w:rsid w:val="00FC5DD2"/>
    <w:rsid w:val="00FE30D8"/>
    <w:rsid w:val="00FF17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A7CF"/>
  <w15:chartTrackingRefBased/>
  <w15:docId w15:val="{182463BF-2BCA-4E55-9645-2D29324D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2BAD"/>
  </w:style>
  <w:style w:type="paragraph" w:styleId="Overskrift1">
    <w:name w:val="heading 1"/>
    <w:basedOn w:val="Normal"/>
    <w:next w:val="Normal"/>
    <w:link w:val="Overskrift1Tegn"/>
    <w:uiPriority w:val="9"/>
    <w:qFormat/>
    <w:rsid w:val="00DD42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DD42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C558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8331BE"/>
    <w:rPr>
      <w:color w:val="0563C1" w:themeColor="hyperlink"/>
      <w:u w:val="single"/>
    </w:rPr>
  </w:style>
  <w:style w:type="character" w:customStyle="1" w:styleId="metainfo">
    <w:name w:val="metainfo"/>
    <w:basedOn w:val="Standardskrifttypeiafsnit"/>
    <w:rsid w:val="00D60BA9"/>
  </w:style>
  <w:style w:type="character" w:styleId="BesgtLink">
    <w:name w:val="FollowedHyperlink"/>
    <w:basedOn w:val="Standardskrifttypeiafsnit"/>
    <w:uiPriority w:val="99"/>
    <w:semiHidden/>
    <w:unhideWhenUsed/>
    <w:rsid w:val="00E25CBC"/>
    <w:rPr>
      <w:color w:val="954F72" w:themeColor="followedHyperlink"/>
      <w:u w:val="single"/>
    </w:rPr>
  </w:style>
  <w:style w:type="character" w:customStyle="1" w:styleId="Overskrift1Tegn">
    <w:name w:val="Overskrift 1 Tegn"/>
    <w:basedOn w:val="Standardskrifttypeiafsnit"/>
    <w:link w:val="Overskrift1"/>
    <w:uiPriority w:val="9"/>
    <w:rsid w:val="00DD4244"/>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DD4244"/>
    <w:pPr>
      <w:outlineLvl w:val="9"/>
    </w:pPr>
    <w:rPr>
      <w:lang w:eastAsia="da-DK"/>
    </w:rPr>
  </w:style>
  <w:style w:type="character" w:customStyle="1" w:styleId="Overskrift2Tegn">
    <w:name w:val="Overskrift 2 Tegn"/>
    <w:basedOn w:val="Standardskrifttypeiafsnit"/>
    <w:link w:val="Overskrift2"/>
    <w:uiPriority w:val="9"/>
    <w:rsid w:val="00DD4244"/>
    <w:rPr>
      <w:rFonts w:asciiTheme="majorHAnsi" w:eastAsiaTheme="majorEastAsia" w:hAnsiTheme="majorHAnsi" w:cstheme="majorBidi"/>
      <w:color w:val="2E74B5" w:themeColor="accent1" w:themeShade="BF"/>
      <w:sz w:val="26"/>
      <w:szCs w:val="26"/>
    </w:rPr>
  </w:style>
  <w:style w:type="paragraph" w:styleId="Indholdsfortegnelse1">
    <w:name w:val="toc 1"/>
    <w:basedOn w:val="Normal"/>
    <w:next w:val="Normal"/>
    <w:autoRedefine/>
    <w:uiPriority w:val="39"/>
    <w:unhideWhenUsed/>
    <w:rsid w:val="00E27BF9"/>
    <w:pPr>
      <w:spacing w:after="100"/>
    </w:pPr>
  </w:style>
  <w:style w:type="paragraph" w:styleId="Indholdsfortegnelse2">
    <w:name w:val="toc 2"/>
    <w:basedOn w:val="Normal"/>
    <w:next w:val="Normal"/>
    <w:autoRedefine/>
    <w:uiPriority w:val="39"/>
    <w:unhideWhenUsed/>
    <w:rsid w:val="00E27BF9"/>
    <w:pPr>
      <w:spacing w:after="100"/>
      <w:ind w:left="220"/>
    </w:pPr>
  </w:style>
  <w:style w:type="character" w:customStyle="1" w:styleId="Overskrift3Tegn">
    <w:name w:val="Overskrift 3 Tegn"/>
    <w:basedOn w:val="Standardskrifttypeiafsnit"/>
    <w:link w:val="Overskrift3"/>
    <w:uiPriority w:val="9"/>
    <w:rsid w:val="00C5588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C5588F"/>
    <w:pPr>
      <w:spacing w:after="0" w:line="240" w:lineRule="auto"/>
    </w:pPr>
    <w:rPr>
      <w:rFonts w:ascii="Times New Roman" w:eastAsia="Times New Roman" w:hAnsi="Times New Roman" w:cs="Times New Roman"/>
      <w:sz w:val="24"/>
      <w:szCs w:val="24"/>
      <w:lang w:eastAsia="da-DK"/>
    </w:rPr>
  </w:style>
  <w:style w:type="paragraph" w:styleId="Indholdsfortegnelse3">
    <w:name w:val="toc 3"/>
    <w:basedOn w:val="Normal"/>
    <w:next w:val="Normal"/>
    <w:autoRedefine/>
    <w:uiPriority w:val="39"/>
    <w:unhideWhenUsed/>
    <w:rsid w:val="00C5588F"/>
    <w:pPr>
      <w:spacing w:after="100"/>
      <w:ind w:left="440"/>
    </w:pPr>
  </w:style>
  <w:style w:type="paragraph" w:customStyle="1" w:styleId="bodyp">
    <w:name w:val="body__p"/>
    <w:basedOn w:val="Normal"/>
    <w:rsid w:val="00B97B4D"/>
    <w:pPr>
      <w:spacing w:before="100" w:beforeAutospacing="1" w:after="100" w:afterAutospacing="1" w:line="390" w:lineRule="atLeast"/>
    </w:pPr>
    <w:rPr>
      <w:rFonts w:ascii="Georgia" w:eastAsia="Times New Roman" w:hAnsi="Georgia" w:cs="Times New Roman"/>
      <w:spacing w:val="-3"/>
      <w:sz w:val="27"/>
      <w:szCs w:val="27"/>
      <w:lang w:eastAsia="da-DK"/>
    </w:rPr>
  </w:style>
  <w:style w:type="paragraph" w:styleId="Listeafsnit">
    <w:name w:val="List Paragraph"/>
    <w:basedOn w:val="Normal"/>
    <w:uiPriority w:val="34"/>
    <w:qFormat/>
    <w:rsid w:val="00116761"/>
    <w:pPr>
      <w:ind w:left="720"/>
      <w:contextualSpacing/>
    </w:pPr>
  </w:style>
  <w:style w:type="character" w:styleId="Ulstomtale">
    <w:name w:val="Unresolved Mention"/>
    <w:basedOn w:val="Standardskrifttypeiafsnit"/>
    <w:uiPriority w:val="99"/>
    <w:semiHidden/>
    <w:unhideWhenUsed/>
    <w:rsid w:val="00306AC9"/>
    <w:rPr>
      <w:color w:val="605E5C"/>
      <w:shd w:val="clear" w:color="auto" w:fill="E1DFDD"/>
    </w:rPr>
  </w:style>
  <w:style w:type="table" w:styleId="Tabel-Gitter">
    <w:name w:val="Table Grid"/>
    <w:basedOn w:val="Tabel-Normal"/>
    <w:uiPriority w:val="39"/>
    <w:rsid w:val="00F11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AE2669"/>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da-DK"/>
    </w:rPr>
  </w:style>
  <w:style w:type="character" w:customStyle="1" w:styleId="TitelTegn">
    <w:name w:val="Titel Tegn"/>
    <w:basedOn w:val="Standardskrifttypeiafsnit"/>
    <w:link w:val="Titel"/>
    <w:uiPriority w:val="10"/>
    <w:rsid w:val="00AE2669"/>
    <w:rPr>
      <w:rFonts w:asciiTheme="majorHAnsi" w:eastAsiaTheme="majorEastAsia" w:hAnsiTheme="majorHAnsi" w:cstheme="majorBidi"/>
      <w:color w:val="404040" w:themeColor="text1" w:themeTint="BF"/>
      <w:spacing w:val="-10"/>
      <w:kern w:val="28"/>
      <w:sz w:val="56"/>
      <w:szCs w:val="56"/>
      <w:lang w:eastAsia="da-DK"/>
    </w:rPr>
  </w:style>
  <w:style w:type="paragraph" w:styleId="Undertitel">
    <w:name w:val="Subtitle"/>
    <w:basedOn w:val="Normal"/>
    <w:next w:val="Normal"/>
    <w:link w:val="UndertitelTegn"/>
    <w:uiPriority w:val="11"/>
    <w:qFormat/>
    <w:rsid w:val="00AE2669"/>
    <w:pPr>
      <w:numPr>
        <w:ilvl w:val="1"/>
      </w:numPr>
    </w:pPr>
    <w:rPr>
      <w:rFonts w:eastAsiaTheme="minorEastAsia" w:cs="Times New Roman"/>
      <w:color w:val="5A5A5A" w:themeColor="text1" w:themeTint="A5"/>
      <w:spacing w:val="15"/>
      <w:lang w:eastAsia="da-DK"/>
    </w:rPr>
  </w:style>
  <w:style w:type="character" w:customStyle="1" w:styleId="UndertitelTegn">
    <w:name w:val="Undertitel Tegn"/>
    <w:basedOn w:val="Standardskrifttypeiafsnit"/>
    <w:link w:val="Undertitel"/>
    <w:uiPriority w:val="11"/>
    <w:rsid w:val="00AE2669"/>
    <w:rPr>
      <w:rFonts w:eastAsiaTheme="minorEastAsia" w:cs="Times New Roman"/>
      <w:color w:val="5A5A5A" w:themeColor="text1" w:themeTint="A5"/>
      <w:spacing w:val="15"/>
      <w:lang w:eastAsia="da-DK"/>
    </w:rPr>
  </w:style>
  <w:style w:type="character" w:customStyle="1" w:styleId="label">
    <w:name w:val="label"/>
    <w:basedOn w:val="Standardskrifttypeiafsnit"/>
    <w:rsid w:val="00FE30D8"/>
  </w:style>
  <w:style w:type="character" w:styleId="Strk">
    <w:name w:val="Strong"/>
    <w:basedOn w:val="Standardskrifttypeiafsnit"/>
    <w:uiPriority w:val="22"/>
    <w:qFormat/>
    <w:rsid w:val="00FE30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99950">
      <w:bodyDiv w:val="1"/>
      <w:marLeft w:val="0"/>
      <w:marRight w:val="0"/>
      <w:marTop w:val="0"/>
      <w:marBottom w:val="0"/>
      <w:divBdr>
        <w:top w:val="none" w:sz="0" w:space="0" w:color="auto"/>
        <w:left w:val="none" w:sz="0" w:space="0" w:color="auto"/>
        <w:bottom w:val="none" w:sz="0" w:space="0" w:color="auto"/>
        <w:right w:val="none" w:sz="0" w:space="0" w:color="auto"/>
      </w:divBdr>
      <w:divsChild>
        <w:div w:id="1381587938">
          <w:marLeft w:val="0"/>
          <w:marRight w:val="0"/>
          <w:marTop w:val="0"/>
          <w:marBottom w:val="0"/>
          <w:divBdr>
            <w:top w:val="none" w:sz="0" w:space="0" w:color="auto"/>
            <w:left w:val="none" w:sz="0" w:space="0" w:color="auto"/>
            <w:bottom w:val="none" w:sz="0" w:space="0" w:color="auto"/>
            <w:right w:val="none" w:sz="0" w:space="0" w:color="auto"/>
          </w:divBdr>
          <w:divsChild>
            <w:div w:id="1695495274">
              <w:marLeft w:val="0"/>
              <w:marRight w:val="0"/>
              <w:marTop w:val="0"/>
              <w:marBottom w:val="0"/>
              <w:divBdr>
                <w:top w:val="none" w:sz="0" w:space="0" w:color="auto"/>
                <w:left w:val="none" w:sz="0" w:space="0" w:color="auto"/>
                <w:bottom w:val="none" w:sz="0" w:space="0" w:color="auto"/>
                <w:right w:val="none" w:sz="0" w:space="0" w:color="auto"/>
              </w:divBdr>
              <w:divsChild>
                <w:div w:id="1726879361">
                  <w:marLeft w:val="0"/>
                  <w:marRight w:val="0"/>
                  <w:marTop w:val="0"/>
                  <w:marBottom w:val="0"/>
                  <w:divBdr>
                    <w:top w:val="none" w:sz="0" w:space="0" w:color="auto"/>
                    <w:left w:val="none" w:sz="0" w:space="0" w:color="auto"/>
                    <w:bottom w:val="none" w:sz="0" w:space="0" w:color="auto"/>
                    <w:right w:val="none" w:sz="0" w:space="0" w:color="auto"/>
                  </w:divBdr>
                  <w:divsChild>
                    <w:div w:id="576939935">
                      <w:marLeft w:val="0"/>
                      <w:marRight w:val="0"/>
                      <w:marTop w:val="0"/>
                      <w:marBottom w:val="0"/>
                      <w:divBdr>
                        <w:top w:val="none" w:sz="0" w:space="0" w:color="auto"/>
                        <w:left w:val="none" w:sz="0" w:space="0" w:color="auto"/>
                        <w:bottom w:val="none" w:sz="0" w:space="0" w:color="auto"/>
                        <w:right w:val="none" w:sz="0" w:space="0" w:color="auto"/>
                      </w:divBdr>
                      <w:divsChild>
                        <w:div w:id="4698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5485">
      <w:bodyDiv w:val="1"/>
      <w:marLeft w:val="0"/>
      <w:marRight w:val="0"/>
      <w:marTop w:val="0"/>
      <w:marBottom w:val="0"/>
      <w:divBdr>
        <w:top w:val="none" w:sz="0" w:space="0" w:color="auto"/>
        <w:left w:val="none" w:sz="0" w:space="0" w:color="auto"/>
        <w:bottom w:val="none" w:sz="0" w:space="0" w:color="auto"/>
        <w:right w:val="none" w:sz="0" w:space="0" w:color="auto"/>
      </w:divBdr>
      <w:divsChild>
        <w:div w:id="454176207">
          <w:marLeft w:val="0"/>
          <w:marRight w:val="0"/>
          <w:marTop w:val="0"/>
          <w:marBottom w:val="240"/>
          <w:divBdr>
            <w:top w:val="none" w:sz="0" w:space="0" w:color="auto"/>
            <w:left w:val="none" w:sz="0" w:space="0" w:color="auto"/>
            <w:bottom w:val="none" w:sz="0" w:space="0" w:color="auto"/>
            <w:right w:val="none" w:sz="0" w:space="0" w:color="auto"/>
          </w:divBdr>
          <w:divsChild>
            <w:div w:id="2022468601">
              <w:marLeft w:val="0"/>
              <w:marRight w:val="0"/>
              <w:marTop w:val="0"/>
              <w:marBottom w:val="0"/>
              <w:divBdr>
                <w:top w:val="none" w:sz="0" w:space="0" w:color="auto"/>
                <w:left w:val="none" w:sz="0" w:space="0" w:color="auto"/>
                <w:bottom w:val="none" w:sz="0" w:space="0" w:color="auto"/>
                <w:right w:val="none" w:sz="0" w:space="0" w:color="auto"/>
              </w:divBdr>
              <w:divsChild>
                <w:div w:id="707221333">
                  <w:marLeft w:val="0"/>
                  <w:marRight w:val="0"/>
                  <w:marTop w:val="0"/>
                  <w:marBottom w:val="0"/>
                  <w:divBdr>
                    <w:top w:val="none" w:sz="0" w:space="0" w:color="auto"/>
                    <w:left w:val="none" w:sz="0" w:space="0" w:color="auto"/>
                    <w:bottom w:val="none" w:sz="0" w:space="0" w:color="auto"/>
                    <w:right w:val="none" w:sz="0" w:space="0" w:color="auto"/>
                  </w:divBdr>
                </w:div>
              </w:divsChild>
            </w:div>
            <w:div w:id="1937665999">
              <w:marLeft w:val="0"/>
              <w:marRight w:val="0"/>
              <w:marTop w:val="0"/>
              <w:marBottom w:val="0"/>
              <w:divBdr>
                <w:top w:val="none" w:sz="0" w:space="0" w:color="auto"/>
                <w:left w:val="none" w:sz="0" w:space="0" w:color="auto"/>
                <w:bottom w:val="none" w:sz="0" w:space="0" w:color="auto"/>
                <w:right w:val="none" w:sz="0" w:space="0" w:color="auto"/>
              </w:divBdr>
              <w:divsChild>
                <w:div w:id="939533170">
                  <w:marLeft w:val="0"/>
                  <w:marRight w:val="0"/>
                  <w:marTop w:val="240"/>
                  <w:marBottom w:val="240"/>
                  <w:divBdr>
                    <w:top w:val="none" w:sz="0" w:space="0" w:color="auto"/>
                    <w:left w:val="none" w:sz="0" w:space="0" w:color="auto"/>
                    <w:bottom w:val="none" w:sz="0" w:space="0" w:color="auto"/>
                    <w:right w:val="none" w:sz="0" w:space="0" w:color="auto"/>
                  </w:divBdr>
                  <w:divsChild>
                    <w:div w:id="632685139">
                      <w:marLeft w:val="0"/>
                      <w:marRight w:val="0"/>
                      <w:marTop w:val="100"/>
                      <w:marBottom w:val="100"/>
                      <w:divBdr>
                        <w:top w:val="none" w:sz="0" w:space="0" w:color="auto"/>
                        <w:left w:val="none" w:sz="0" w:space="0" w:color="auto"/>
                        <w:bottom w:val="none" w:sz="0" w:space="0" w:color="auto"/>
                        <w:right w:val="none" w:sz="0" w:space="0" w:color="auto"/>
                      </w:divBdr>
                      <w:divsChild>
                        <w:div w:id="1468358506">
                          <w:marLeft w:val="0"/>
                          <w:marRight w:val="0"/>
                          <w:marTop w:val="0"/>
                          <w:marBottom w:val="0"/>
                          <w:divBdr>
                            <w:top w:val="none" w:sz="0" w:space="0" w:color="auto"/>
                            <w:left w:val="none" w:sz="0" w:space="0" w:color="auto"/>
                            <w:bottom w:val="none" w:sz="0" w:space="0" w:color="auto"/>
                            <w:right w:val="none" w:sz="0" w:space="0" w:color="auto"/>
                          </w:divBdr>
                        </w:div>
                        <w:div w:id="1806115873">
                          <w:marLeft w:val="0"/>
                          <w:marRight w:val="0"/>
                          <w:marTop w:val="96"/>
                          <w:marBottom w:val="240"/>
                          <w:divBdr>
                            <w:top w:val="none" w:sz="0" w:space="0" w:color="auto"/>
                            <w:left w:val="none" w:sz="0" w:space="0" w:color="auto"/>
                            <w:bottom w:val="none" w:sz="0" w:space="0" w:color="auto"/>
                            <w:right w:val="none" w:sz="0" w:space="0" w:color="auto"/>
                          </w:divBdr>
                          <w:divsChild>
                            <w:div w:id="43806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1428">
                  <w:marLeft w:val="0"/>
                  <w:marRight w:val="0"/>
                  <w:marTop w:val="0"/>
                  <w:marBottom w:val="423"/>
                  <w:divBdr>
                    <w:top w:val="none" w:sz="0" w:space="0" w:color="auto"/>
                    <w:left w:val="none" w:sz="0" w:space="0" w:color="auto"/>
                    <w:bottom w:val="none" w:sz="0" w:space="0" w:color="auto"/>
                    <w:right w:val="none" w:sz="0" w:space="0" w:color="auto"/>
                  </w:divBdr>
                  <w:divsChild>
                    <w:div w:id="14460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2429">
              <w:marLeft w:val="0"/>
              <w:marRight w:val="0"/>
              <w:marTop w:val="0"/>
              <w:marBottom w:val="0"/>
              <w:divBdr>
                <w:top w:val="none" w:sz="0" w:space="0" w:color="auto"/>
                <w:left w:val="none" w:sz="0" w:space="0" w:color="auto"/>
                <w:bottom w:val="none" w:sz="0" w:space="0" w:color="auto"/>
                <w:right w:val="none" w:sz="0" w:space="0" w:color="auto"/>
              </w:divBdr>
              <w:divsChild>
                <w:div w:id="1953241242">
                  <w:marLeft w:val="0"/>
                  <w:marRight w:val="0"/>
                  <w:marTop w:val="0"/>
                  <w:marBottom w:val="0"/>
                  <w:divBdr>
                    <w:top w:val="none" w:sz="0" w:space="0" w:color="auto"/>
                    <w:left w:val="none" w:sz="0" w:space="0" w:color="auto"/>
                    <w:bottom w:val="none" w:sz="0" w:space="0" w:color="auto"/>
                    <w:right w:val="none" w:sz="0" w:space="0" w:color="auto"/>
                  </w:divBdr>
                </w:div>
              </w:divsChild>
            </w:div>
            <w:div w:id="1348681289">
              <w:marLeft w:val="0"/>
              <w:marRight w:val="0"/>
              <w:marTop w:val="0"/>
              <w:marBottom w:val="0"/>
              <w:divBdr>
                <w:top w:val="none" w:sz="0" w:space="0" w:color="auto"/>
                <w:left w:val="none" w:sz="0" w:space="0" w:color="auto"/>
                <w:bottom w:val="none" w:sz="0" w:space="0" w:color="auto"/>
                <w:right w:val="none" w:sz="0" w:space="0" w:color="auto"/>
              </w:divBdr>
              <w:divsChild>
                <w:div w:id="18910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78737">
      <w:bodyDiv w:val="1"/>
      <w:marLeft w:val="0"/>
      <w:marRight w:val="0"/>
      <w:marTop w:val="0"/>
      <w:marBottom w:val="0"/>
      <w:divBdr>
        <w:top w:val="none" w:sz="0" w:space="0" w:color="auto"/>
        <w:left w:val="none" w:sz="0" w:space="0" w:color="auto"/>
        <w:bottom w:val="none" w:sz="0" w:space="0" w:color="auto"/>
        <w:right w:val="none" w:sz="0" w:space="0" w:color="auto"/>
      </w:divBdr>
      <w:divsChild>
        <w:div w:id="1622225243">
          <w:marLeft w:val="0"/>
          <w:marRight w:val="0"/>
          <w:marTop w:val="0"/>
          <w:marBottom w:val="0"/>
          <w:divBdr>
            <w:top w:val="none" w:sz="0" w:space="0" w:color="auto"/>
            <w:left w:val="none" w:sz="0" w:space="0" w:color="auto"/>
            <w:bottom w:val="none" w:sz="0" w:space="0" w:color="auto"/>
            <w:right w:val="none" w:sz="0" w:space="0" w:color="auto"/>
          </w:divBdr>
          <w:divsChild>
            <w:div w:id="2032560174">
              <w:marLeft w:val="0"/>
              <w:marRight w:val="0"/>
              <w:marTop w:val="0"/>
              <w:marBottom w:val="0"/>
              <w:divBdr>
                <w:top w:val="none" w:sz="0" w:space="0" w:color="auto"/>
                <w:left w:val="none" w:sz="0" w:space="0" w:color="auto"/>
                <w:bottom w:val="none" w:sz="0" w:space="0" w:color="auto"/>
                <w:right w:val="none" w:sz="0" w:space="0" w:color="auto"/>
              </w:divBdr>
              <w:divsChild>
                <w:div w:id="685862302">
                  <w:marLeft w:val="0"/>
                  <w:marRight w:val="0"/>
                  <w:marTop w:val="0"/>
                  <w:marBottom w:val="0"/>
                  <w:divBdr>
                    <w:top w:val="none" w:sz="0" w:space="0" w:color="auto"/>
                    <w:left w:val="none" w:sz="0" w:space="0" w:color="auto"/>
                    <w:bottom w:val="none" w:sz="0" w:space="0" w:color="auto"/>
                    <w:right w:val="none" w:sz="0" w:space="0" w:color="auto"/>
                  </w:divBdr>
                  <w:divsChild>
                    <w:div w:id="1073702840">
                      <w:marLeft w:val="0"/>
                      <w:marRight w:val="0"/>
                      <w:marTop w:val="0"/>
                      <w:marBottom w:val="0"/>
                      <w:divBdr>
                        <w:top w:val="none" w:sz="0" w:space="0" w:color="auto"/>
                        <w:left w:val="none" w:sz="0" w:space="0" w:color="auto"/>
                        <w:bottom w:val="none" w:sz="0" w:space="0" w:color="auto"/>
                        <w:right w:val="none" w:sz="0" w:space="0" w:color="auto"/>
                      </w:divBdr>
                      <w:divsChild>
                        <w:div w:id="6683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471741">
      <w:bodyDiv w:val="1"/>
      <w:marLeft w:val="0"/>
      <w:marRight w:val="0"/>
      <w:marTop w:val="0"/>
      <w:marBottom w:val="0"/>
      <w:divBdr>
        <w:top w:val="none" w:sz="0" w:space="0" w:color="auto"/>
        <w:left w:val="none" w:sz="0" w:space="0" w:color="auto"/>
        <w:bottom w:val="none" w:sz="0" w:space="0" w:color="auto"/>
        <w:right w:val="none" w:sz="0" w:space="0" w:color="auto"/>
      </w:divBdr>
      <w:divsChild>
        <w:div w:id="1692143908">
          <w:marLeft w:val="0"/>
          <w:marRight w:val="0"/>
          <w:marTop w:val="0"/>
          <w:marBottom w:val="0"/>
          <w:divBdr>
            <w:top w:val="none" w:sz="0" w:space="0" w:color="auto"/>
            <w:left w:val="none" w:sz="0" w:space="0" w:color="auto"/>
            <w:bottom w:val="none" w:sz="0" w:space="0" w:color="auto"/>
            <w:right w:val="none" w:sz="0" w:space="0" w:color="auto"/>
          </w:divBdr>
          <w:divsChild>
            <w:div w:id="2042246671">
              <w:marLeft w:val="0"/>
              <w:marRight w:val="0"/>
              <w:marTop w:val="0"/>
              <w:marBottom w:val="0"/>
              <w:divBdr>
                <w:top w:val="none" w:sz="0" w:space="0" w:color="auto"/>
                <w:left w:val="none" w:sz="0" w:space="0" w:color="auto"/>
                <w:bottom w:val="none" w:sz="0" w:space="0" w:color="auto"/>
                <w:right w:val="none" w:sz="0" w:space="0" w:color="auto"/>
              </w:divBdr>
              <w:divsChild>
                <w:div w:id="376511500">
                  <w:marLeft w:val="0"/>
                  <w:marRight w:val="0"/>
                  <w:marTop w:val="0"/>
                  <w:marBottom w:val="0"/>
                  <w:divBdr>
                    <w:top w:val="none" w:sz="0" w:space="0" w:color="auto"/>
                    <w:left w:val="none" w:sz="0" w:space="0" w:color="auto"/>
                    <w:bottom w:val="none" w:sz="0" w:space="0" w:color="auto"/>
                    <w:right w:val="none" w:sz="0" w:space="0" w:color="auto"/>
                  </w:divBdr>
                  <w:divsChild>
                    <w:div w:id="279608926">
                      <w:marLeft w:val="0"/>
                      <w:marRight w:val="0"/>
                      <w:marTop w:val="0"/>
                      <w:marBottom w:val="0"/>
                      <w:divBdr>
                        <w:top w:val="none" w:sz="0" w:space="0" w:color="auto"/>
                        <w:left w:val="none" w:sz="0" w:space="0" w:color="auto"/>
                        <w:bottom w:val="none" w:sz="0" w:space="0" w:color="auto"/>
                        <w:right w:val="none" w:sz="0" w:space="0" w:color="auto"/>
                      </w:divBdr>
                      <w:divsChild>
                        <w:div w:id="720053831">
                          <w:marLeft w:val="0"/>
                          <w:marRight w:val="0"/>
                          <w:marTop w:val="0"/>
                          <w:marBottom w:val="0"/>
                          <w:divBdr>
                            <w:top w:val="none" w:sz="0" w:space="0" w:color="auto"/>
                            <w:left w:val="none" w:sz="0" w:space="0" w:color="auto"/>
                            <w:bottom w:val="none" w:sz="0" w:space="0" w:color="auto"/>
                            <w:right w:val="none" w:sz="0" w:space="0" w:color="auto"/>
                          </w:divBdr>
                          <w:divsChild>
                            <w:div w:id="1941601837">
                              <w:marLeft w:val="0"/>
                              <w:marRight w:val="0"/>
                              <w:marTop w:val="0"/>
                              <w:marBottom w:val="0"/>
                              <w:divBdr>
                                <w:top w:val="none" w:sz="0" w:space="0" w:color="auto"/>
                                <w:left w:val="none" w:sz="0" w:space="0" w:color="auto"/>
                                <w:bottom w:val="none" w:sz="0" w:space="0" w:color="auto"/>
                                <w:right w:val="none" w:sz="0" w:space="0" w:color="auto"/>
                              </w:divBdr>
                              <w:divsChild>
                                <w:div w:id="145974225">
                                  <w:marLeft w:val="0"/>
                                  <w:marRight w:val="0"/>
                                  <w:marTop w:val="0"/>
                                  <w:marBottom w:val="0"/>
                                  <w:divBdr>
                                    <w:top w:val="none" w:sz="0" w:space="0" w:color="auto"/>
                                    <w:left w:val="none" w:sz="0" w:space="0" w:color="auto"/>
                                    <w:bottom w:val="none" w:sz="0" w:space="0" w:color="auto"/>
                                    <w:right w:val="none" w:sz="0" w:space="0" w:color="auto"/>
                                  </w:divBdr>
                                  <w:divsChild>
                                    <w:div w:id="257718477">
                                      <w:marLeft w:val="0"/>
                                      <w:marRight w:val="0"/>
                                      <w:marTop w:val="0"/>
                                      <w:marBottom w:val="0"/>
                                      <w:divBdr>
                                        <w:top w:val="none" w:sz="0" w:space="0" w:color="auto"/>
                                        <w:left w:val="none" w:sz="0" w:space="0" w:color="auto"/>
                                        <w:bottom w:val="none" w:sz="0" w:space="0" w:color="auto"/>
                                        <w:right w:val="none" w:sz="0" w:space="0" w:color="auto"/>
                                      </w:divBdr>
                                      <w:divsChild>
                                        <w:div w:id="59912708">
                                          <w:marLeft w:val="0"/>
                                          <w:marRight w:val="0"/>
                                          <w:marTop w:val="0"/>
                                          <w:marBottom w:val="0"/>
                                          <w:divBdr>
                                            <w:top w:val="none" w:sz="0" w:space="0" w:color="auto"/>
                                            <w:left w:val="none" w:sz="0" w:space="0" w:color="auto"/>
                                            <w:bottom w:val="none" w:sz="0" w:space="0" w:color="auto"/>
                                            <w:right w:val="none" w:sz="0" w:space="0" w:color="auto"/>
                                          </w:divBdr>
                                          <w:divsChild>
                                            <w:div w:id="863788782">
                                              <w:marLeft w:val="0"/>
                                              <w:marRight w:val="0"/>
                                              <w:marTop w:val="0"/>
                                              <w:marBottom w:val="0"/>
                                              <w:divBdr>
                                                <w:top w:val="none" w:sz="0" w:space="0" w:color="auto"/>
                                                <w:left w:val="none" w:sz="0" w:space="0" w:color="auto"/>
                                                <w:bottom w:val="none" w:sz="0" w:space="0" w:color="auto"/>
                                                <w:right w:val="none" w:sz="0" w:space="0" w:color="auto"/>
                                              </w:divBdr>
                                              <w:divsChild>
                                                <w:div w:id="514808032">
                                                  <w:marLeft w:val="0"/>
                                                  <w:marRight w:val="0"/>
                                                  <w:marTop w:val="0"/>
                                                  <w:marBottom w:val="0"/>
                                                  <w:divBdr>
                                                    <w:top w:val="none" w:sz="0" w:space="0" w:color="auto"/>
                                                    <w:left w:val="none" w:sz="0" w:space="0" w:color="auto"/>
                                                    <w:bottom w:val="none" w:sz="0" w:space="0" w:color="auto"/>
                                                    <w:right w:val="none" w:sz="0" w:space="0" w:color="auto"/>
                                                  </w:divBdr>
                                                </w:div>
                                                <w:div w:id="3235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022096">
      <w:bodyDiv w:val="1"/>
      <w:marLeft w:val="0"/>
      <w:marRight w:val="0"/>
      <w:marTop w:val="0"/>
      <w:marBottom w:val="0"/>
      <w:divBdr>
        <w:top w:val="none" w:sz="0" w:space="0" w:color="auto"/>
        <w:left w:val="none" w:sz="0" w:space="0" w:color="auto"/>
        <w:bottom w:val="none" w:sz="0" w:space="0" w:color="auto"/>
        <w:right w:val="none" w:sz="0" w:space="0" w:color="auto"/>
      </w:divBdr>
    </w:div>
    <w:div w:id="958417333">
      <w:bodyDiv w:val="1"/>
      <w:marLeft w:val="0"/>
      <w:marRight w:val="0"/>
      <w:marTop w:val="0"/>
      <w:marBottom w:val="0"/>
      <w:divBdr>
        <w:top w:val="none" w:sz="0" w:space="0" w:color="auto"/>
        <w:left w:val="none" w:sz="0" w:space="0" w:color="auto"/>
        <w:bottom w:val="none" w:sz="0" w:space="0" w:color="auto"/>
        <w:right w:val="none" w:sz="0" w:space="0" w:color="auto"/>
      </w:divBdr>
    </w:div>
    <w:div w:id="1257782718">
      <w:bodyDiv w:val="1"/>
      <w:marLeft w:val="0"/>
      <w:marRight w:val="0"/>
      <w:marTop w:val="0"/>
      <w:marBottom w:val="0"/>
      <w:divBdr>
        <w:top w:val="none" w:sz="0" w:space="0" w:color="auto"/>
        <w:left w:val="none" w:sz="0" w:space="0" w:color="auto"/>
        <w:bottom w:val="none" w:sz="0" w:space="0" w:color="auto"/>
        <w:right w:val="none" w:sz="0" w:space="0" w:color="auto"/>
      </w:divBdr>
      <w:divsChild>
        <w:div w:id="77101757">
          <w:marLeft w:val="0"/>
          <w:marRight w:val="0"/>
          <w:marTop w:val="0"/>
          <w:marBottom w:val="0"/>
          <w:divBdr>
            <w:top w:val="none" w:sz="0" w:space="0" w:color="auto"/>
            <w:left w:val="none" w:sz="0" w:space="0" w:color="auto"/>
            <w:bottom w:val="none" w:sz="0" w:space="0" w:color="auto"/>
            <w:right w:val="none" w:sz="0" w:space="0" w:color="auto"/>
          </w:divBdr>
          <w:divsChild>
            <w:div w:id="1761482163">
              <w:marLeft w:val="0"/>
              <w:marRight w:val="0"/>
              <w:marTop w:val="0"/>
              <w:marBottom w:val="0"/>
              <w:divBdr>
                <w:top w:val="none" w:sz="0" w:space="0" w:color="auto"/>
                <w:left w:val="none" w:sz="0" w:space="0" w:color="auto"/>
                <w:bottom w:val="none" w:sz="0" w:space="0" w:color="auto"/>
                <w:right w:val="none" w:sz="0" w:space="0" w:color="auto"/>
              </w:divBdr>
              <w:divsChild>
                <w:div w:id="1847790545">
                  <w:marLeft w:val="0"/>
                  <w:marRight w:val="0"/>
                  <w:marTop w:val="0"/>
                  <w:marBottom w:val="0"/>
                  <w:divBdr>
                    <w:top w:val="none" w:sz="0" w:space="0" w:color="auto"/>
                    <w:left w:val="none" w:sz="0" w:space="0" w:color="auto"/>
                    <w:bottom w:val="none" w:sz="0" w:space="0" w:color="auto"/>
                    <w:right w:val="none" w:sz="0" w:space="0" w:color="auto"/>
                  </w:divBdr>
                  <w:divsChild>
                    <w:div w:id="2089883876">
                      <w:marLeft w:val="0"/>
                      <w:marRight w:val="0"/>
                      <w:marTop w:val="0"/>
                      <w:marBottom w:val="0"/>
                      <w:divBdr>
                        <w:top w:val="none" w:sz="0" w:space="0" w:color="auto"/>
                        <w:left w:val="none" w:sz="0" w:space="0" w:color="auto"/>
                        <w:bottom w:val="none" w:sz="0" w:space="0" w:color="auto"/>
                        <w:right w:val="none" w:sz="0" w:space="0" w:color="auto"/>
                      </w:divBdr>
                      <w:divsChild>
                        <w:div w:id="50667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22453">
      <w:bodyDiv w:val="1"/>
      <w:marLeft w:val="0"/>
      <w:marRight w:val="0"/>
      <w:marTop w:val="0"/>
      <w:marBottom w:val="0"/>
      <w:divBdr>
        <w:top w:val="none" w:sz="0" w:space="0" w:color="auto"/>
        <w:left w:val="none" w:sz="0" w:space="0" w:color="auto"/>
        <w:bottom w:val="none" w:sz="0" w:space="0" w:color="auto"/>
        <w:right w:val="none" w:sz="0" w:space="0" w:color="auto"/>
      </w:divBdr>
      <w:divsChild>
        <w:div w:id="912543314">
          <w:marLeft w:val="0"/>
          <w:marRight w:val="0"/>
          <w:marTop w:val="0"/>
          <w:marBottom w:val="0"/>
          <w:divBdr>
            <w:top w:val="none" w:sz="0" w:space="0" w:color="auto"/>
            <w:left w:val="none" w:sz="0" w:space="0" w:color="auto"/>
            <w:bottom w:val="none" w:sz="0" w:space="0" w:color="auto"/>
            <w:right w:val="none" w:sz="0" w:space="0" w:color="auto"/>
          </w:divBdr>
          <w:divsChild>
            <w:div w:id="872157356">
              <w:marLeft w:val="0"/>
              <w:marRight w:val="0"/>
              <w:marTop w:val="0"/>
              <w:marBottom w:val="0"/>
              <w:divBdr>
                <w:top w:val="none" w:sz="0" w:space="0" w:color="auto"/>
                <w:left w:val="none" w:sz="0" w:space="0" w:color="auto"/>
                <w:bottom w:val="none" w:sz="0" w:space="0" w:color="auto"/>
                <w:right w:val="none" w:sz="0" w:space="0" w:color="auto"/>
              </w:divBdr>
              <w:divsChild>
                <w:div w:id="1624768547">
                  <w:marLeft w:val="0"/>
                  <w:marRight w:val="0"/>
                  <w:marTop w:val="0"/>
                  <w:marBottom w:val="0"/>
                  <w:divBdr>
                    <w:top w:val="none" w:sz="0" w:space="0" w:color="auto"/>
                    <w:left w:val="none" w:sz="0" w:space="0" w:color="auto"/>
                    <w:bottom w:val="none" w:sz="0" w:space="0" w:color="auto"/>
                    <w:right w:val="none" w:sz="0" w:space="0" w:color="auto"/>
                  </w:divBdr>
                  <w:divsChild>
                    <w:div w:id="1744644929">
                      <w:marLeft w:val="0"/>
                      <w:marRight w:val="0"/>
                      <w:marTop w:val="0"/>
                      <w:marBottom w:val="0"/>
                      <w:divBdr>
                        <w:top w:val="none" w:sz="0" w:space="0" w:color="auto"/>
                        <w:left w:val="none" w:sz="0" w:space="0" w:color="auto"/>
                        <w:bottom w:val="none" w:sz="0" w:space="0" w:color="auto"/>
                        <w:right w:val="none" w:sz="0" w:space="0" w:color="auto"/>
                      </w:divBdr>
                      <w:divsChild>
                        <w:div w:id="4862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357327">
      <w:bodyDiv w:val="1"/>
      <w:marLeft w:val="0"/>
      <w:marRight w:val="0"/>
      <w:marTop w:val="0"/>
      <w:marBottom w:val="0"/>
      <w:divBdr>
        <w:top w:val="none" w:sz="0" w:space="0" w:color="auto"/>
        <w:left w:val="none" w:sz="0" w:space="0" w:color="auto"/>
        <w:bottom w:val="none" w:sz="0" w:space="0" w:color="auto"/>
        <w:right w:val="none" w:sz="0" w:space="0" w:color="auto"/>
      </w:divBdr>
      <w:divsChild>
        <w:div w:id="628828829">
          <w:marLeft w:val="0"/>
          <w:marRight w:val="0"/>
          <w:marTop w:val="0"/>
          <w:marBottom w:val="0"/>
          <w:divBdr>
            <w:top w:val="none" w:sz="0" w:space="0" w:color="auto"/>
            <w:left w:val="none" w:sz="0" w:space="0" w:color="auto"/>
            <w:bottom w:val="none" w:sz="0" w:space="0" w:color="auto"/>
            <w:right w:val="none" w:sz="0" w:space="0" w:color="auto"/>
          </w:divBdr>
          <w:divsChild>
            <w:div w:id="1752774734">
              <w:marLeft w:val="0"/>
              <w:marRight w:val="0"/>
              <w:marTop w:val="0"/>
              <w:marBottom w:val="0"/>
              <w:divBdr>
                <w:top w:val="none" w:sz="0" w:space="0" w:color="auto"/>
                <w:left w:val="none" w:sz="0" w:space="0" w:color="auto"/>
                <w:bottom w:val="none" w:sz="0" w:space="0" w:color="auto"/>
                <w:right w:val="none" w:sz="0" w:space="0" w:color="auto"/>
              </w:divBdr>
              <w:divsChild>
                <w:div w:id="737023327">
                  <w:marLeft w:val="0"/>
                  <w:marRight w:val="0"/>
                  <w:marTop w:val="0"/>
                  <w:marBottom w:val="0"/>
                  <w:divBdr>
                    <w:top w:val="none" w:sz="0" w:space="0" w:color="auto"/>
                    <w:left w:val="none" w:sz="0" w:space="0" w:color="auto"/>
                    <w:bottom w:val="none" w:sz="0" w:space="0" w:color="auto"/>
                    <w:right w:val="none" w:sz="0" w:space="0" w:color="auto"/>
                  </w:divBdr>
                  <w:divsChild>
                    <w:div w:id="1574008458">
                      <w:marLeft w:val="0"/>
                      <w:marRight w:val="0"/>
                      <w:marTop w:val="0"/>
                      <w:marBottom w:val="0"/>
                      <w:divBdr>
                        <w:top w:val="none" w:sz="0" w:space="0" w:color="auto"/>
                        <w:left w:val="none" w:sz="0" w:space="0" w:color="auto"/>
                        <w:bottom w:val="none" w:sz="0" w:space="0" w:color="auto"/>
                        <w:right w:val="none" w:sz="0" w:space="0" w:color="auto"/>
                      </w:divBdr>
                      <w:divsChild>
                        <w:div w:id="20601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014513">
      <w:bodyDiv w:val="1"/>
      <w:marLeft w:val="0"/>
      <w:marRight w:val="0"/>
      <w:marTop w:val="0"/>
      <w:marBottom w:val="0"/>
      <w:divBdr>
        <w:top w:val="none" w:sz="0" w:space="0" w:color="auto"/>
        <w:left w:val="none" w:sz="0" w:space="0" w:color="auto"/>
        <w:bottom w:val="none" w:sz="0" w:space="0" w:color="auto"/>
        <w:right w:val="none" w:sz="0" w:space="0" w:color="auto"/>
      </w:divBdr>
    </w:div>
    <w:div w:id="1728216396">
      <w:bodyDiv w:val="1"/>
      <w:marLeft w:val="0"/>
      <w:marRight w:val="0"/>
      <w:marTop w:val="0"/>
      <w:marBottom w:val="0"/>
      <w:divBdr>
        <w:top w:val="none" w:sz="0" w:space="0" w:color="auto"/>
        <w:left w:val="none" w:sz="0" w:space="0" w:color="auto"/>
        <w:bottom w:val="none" w:sz="0" w:space="0" w:color="auto"/>
        <w:right w:val="none" w:sz="0" w:space="0" w:color="auto"/>
      </w:divBdr>
    </w:div>
    <w:div w:id="2107533354">
      <w:bodyDiv w:val="1"/>
      <w:marLeft w:val="0"/>
      <w:marRight w:val="0"/>
      <w:marTop w:val="0"/>
      <w:marBottom w:val="0"/>
      <w:divBdr>
        <w:top w:val="none" w:sz="0" w:space="0" w:color="auto"/>
        <w:left w:val="none" w:sz="0" w:space="0" w:color="auto"/>
        <w:bottom w:val="none" w:sz="0" w:space="0" w:color="auto"/>
        <w:right w:val="none" w:sz="0" w:space="0" w:color="auto"/>
      </w:divBdr>
      <w:divsChild>
        <w:div w:id="664631221">
          <w:marLeft w:val="0"/>
          <w:marRight w:val="0"/>
          <w:marTop w:val="0"/>
          <w:marBottom w:val="0"/>
          <w:divBdr>
            <w:top w:val="none" w:sz="0" w:space="0" w:color="auto"/>
            <w:left w:val="none" w:sz="0" w:space="0" w:color="auto"/>
            <w:bottom w:val="none" w:sz="0" w:space="0" w:color="auto"/>
            <w:right w:val="none" w:sz="0" w:space="0" w:color="auto"/>
          </w:divBdr>
          <w:divsChild>
            <w:div w:id="1745449262">
              <w:marLeft w:val="0"/>
              <w:marRight w:val="0"/>
              <w:marTop w:val="0"/>
              <w:marBottom w:val="0"/>
              <w:divBdr>
                <w:top w:val="none" w:sz="0" w:space="0" w:color="auto"/>
                <w:left w:val="none" w:sz="0" w:space="0" w:color="auto"/>
                <w:bottom w:val="none" w:sz="0" w:space="0" w:color="auto"/>
                <w:right w:val="none" w:sz="0" w:space="0" w:color="auto"/>
              </w:divBdr>
              <w:divsChild>
                <w:div w:id="1203324575">
                  <w:marLeft w:val="-113"/>
                  <w:marRight w:val="-113"/>
                  <w:marTop w:val="0"/>
                  <w:marBottom w:val="0"/>
                  <w:divBdr>
                    <w:top w:val="none" w:sz="0" w:space="0" w:color="auto"/>
                    <w:left w:val="none" w:sz="0" w:space="0" w:color="auto"/>
                    <w:bottom w:val="none" w:sz="0" w:space="0" w:color="auto"/>
                    <w:right w:val="none" w:sz="0" w:space="0" w:color="auto"/>
                  </w:divBdr>
                  <w:divsChild>
                    <w:div w:id="124853749">
                      <w:marLeft w:val="0"/>
                      <w:marRight w:val="0"/>
                      <w:marTop w:val="0"/>
                      <w:marBottom w:val="0"/>
                      <w:divBdr>
                        <w:top w:val="none" w:sz="0" w:space="0" w:color="auto"/>
                        <w:left w:val="none" w:sz="0" w:space="0" w:color="auto"/>
                        <w:bottom w:val="none" w:sz="0" w:space="0" w:color="auto"/>
                        <w:right w:val="none" w:sz="0" w:space="0" w:color="auto"/>
                      </w:divBdr>
                      <w:divsChild>
                        <w:div w:id="19979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ankpenge.dk/banker-danmark/" TargetMode="External"/><Relationship Id="rId18" Type="http://schemas.openxmlformats.org/officeDocument/2006/relationships/hyperlink" Target="https://danskebank.com/-/media/danske-bank-com/file-cloud/2020/2/uddrag-af-annual-report-2019.pdf?rev=ebe42a1e003142ef9cd56c2c9573259f&amp;sc_lang=da"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da.wikipedia.org/wiki/Danske_pengeinstitutter_efter_st%C3%B8rrelse" TargetMode="Externa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danskebank.com/-/media/danske-bank-com/file-cloud/2020/11/tilsynsdiamant---1,-d-,-3,-d-,-kvartal-2020.pdf?rev=3dc2fb036ffc4dd38bbdf9776acdf5e2&amp;sc_lang=da" TargetMode="External"/><Relationship Id="rId20" Type="http://schemas.openxmlformats.org/officeDocument/2006/relationships/hyperlink" Target="https://danskebank.com/-/media/danske-bank-com/file-cloud/2020/2/uddrag-af-annual-report-2019.pdf?rev=ebe42a1e003142ef9cd56c2c9573259f&amp;sc_lang=da" TargetMode="External"/><Relationship Id="rId29" Type="http://schemas.openxmlformats.org/officeDocument/2006/relationships/hyperlink" Target="https://www.faster.dk/media/1687/redegoerels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spks.dk/wps/wcm/connect/spks/3bbc338b-9f33-48d8-a3f9-05d1ad3d6cb4/aarsrapport-2019.pdf?MOD=AJPERES&amp;CVID=n0KOKmt" TargetMode="External"/><Relationship Id="rId28" Type="http://schemas.openxmlformats.org/officeDocument/2006/relationships/hyperlink" Target="https://www.faster.dk/media/1666/digital-faster-andelskasse-aarsberetning-2019.pdf" TargetMode="External"/><Relationship Id="rId10" Type="http://schemas.openxmlformats.org/officeDocument/2006/relationships/hyperlink" Target="https://www.findbank.dk/banker-i-danmark/?gclid=Cj0KCQiAs5eCBhCBARIsAEhk4r7jg7Yzzahm8OZUYoYSYtnzOprE-E7uJrEjmSQw_7OGUX1V41MqOP4aAiu0EALw_wcB"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www.findbank.dk/bedste-bank" TargetMode="External"/><Relationship Id="rId14" Type="http://schemas.openxmlformats.org/officeDocument/2006/relationships/hyperlink" Target="https://www.finanstilsynet.dk/Tal-og-Fakta/Statistik/Statistik-om-sektoren/Pengeinstitutternes-stoerrelsesgruppering" TargetMode="External"/><Relationship Id="rId22" Type="http://schemas.openxmlformats.org/officeDocument/2006/relationships/image" Target="media/image6.png"/><Relationship Id="rId27" Type="http://schemas.openxmlformats.org/officeDocument/2006/relationships/hyperlink" Target="https://www.faster.dk/" TargetMode="Externa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Deres årsregnskab, indtægter og overholdelse af tilsynsdiamanten.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BAA1A441F4C43BD88A08F2187D46B0800C0528B65C5FCF94BA954085BE529A259" ma:contentTypeVersion="1" ma:contentTypeDescription="Opret et nyt dokument." ma:contentTypeScope="" ma:versionID="cedbfd8328c26708db5ca48985bca753">
  <xsd:schema xmlns:xsd="http://www.w3.org/2001/XMLSchema" xmlns:xs="http://www.w3.org/2001/XMLSchema" xmlns:p="http://schemas.microsoft.com/office/2006/metadata/properties" xmlns:ns1="http://schemas.microsoft.com/sharepoint/v3" xmlns:ns2="00AAB1A2-6F06-47dd-BE44-3A3FBBF21F4B" targetNamespace="http://schemas.microsoft.com/office/2006/metadata/properties" ma:root="true" ma:fieldsID="26598db4ed7a13e56f98b7ae5b25d146" ns1:_="" ns2:_="">
    <xsd:import namespace="http://schemas.microsoft.com/sharepoint/v3"/>
    <xsd:import namespace="00AAB1A2-6F06-47dd-BE44-3A3FBBF21F4B"/>
    <xsd:element name="properties">
      <xsd:complexType>
        <xsd:sequence>
          <xsd:element name="documentManagement">
            <xsd:complexType>
              <xsd:all>
                <xsd:element ref="ns1:Comments" minOccurs="0"/>
                <xsd:element ref="ns2:LinkTarget" minOccurs="0"/>
                <xsd:element ref="ns1:SchedulingStartDate" minOccurs="0"/>
                <xsd:element ref="ns1:SchedulingEn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0" nillable="true" ma:displayName="Beskrivelse" ma:internalName="Comments">
      <xsd:simpleType>
        <xsd:restriction base="dms:Note">
          <xsd:maxLength value="255"/>
        </xsd:restriction>
      </xsd:simpleType>
    </xsd:element>
    <xsd:element name="SchedulingStartDate" ma:index="2" nillable="true" ma:displayName="Startdato" ma:description="Planlagt godkendelses Startdato" ma:format="DateTime" ma:internalName="SchedulingStartDate">
      <xsd:simpleType>
        <xsd:restriction base="dms:DateTime"/>
      </xsd:simpleType>
    </xsd:element>
    <xsd:element name="SchedulingEndDate" ma:index="3" nillable="true" ma:displayName="Slutdato" ma:description="Planlagt godkendelses Slutdato" ma:format="DateTime" ma:internalName="SchedulingEn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AAB1A2-6F06-47dd-BE44-3A3FBBF21F4B" elementFormDefault="qualified">
    <xsd:import namespace="http://schemas.microsoft.com/office/2006/documentManagement/types"/>
    <xsd:import namespace="http://schemas.microsoft.com/office/infopath/2007/PartnerControls"/>
    <xsd:element name="LinkTarget" ma:index="1" nillable="true" ma:displayName="Link placering" ma:default="_self" ma:description="Navn på vindue som åbnes ved klik" ma:internalName="LinkTarget">
      <xsd:simpleType>
        <xsd:union memberTypes="dms:Text">
          <xsd:simpleType>
            <xsd:restriction base="dms:Choice">
              <xsd:enumeration value="_self"/>
              <xsd:enumeration value="_parent"/>
              <xsd:enumeration value="_blank"/>
              <xsd:enumeration value="_top"/>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ma:index="4"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chedulingStartDate xmlns="http://schemas.microsoft.com/sharepoint/v3" xsi:nil="true"/>
    <SchedulingEndDate xmlns="http://schemas.microsoft.com/sharepoint/v3" xsi:nil="true"/>
    <LinkTarget xmlns="00AAB1A2-6F06-47dd-BE44-3A3FBBF21F4B">_self</LinkTarget>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7E8E4A-8B41-46DF-AB06-E11ADEEBA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AAB1A2-6F06-47dd-BE44-3A3FBBF21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935F58-6C95-4695-BDB0-79FB31CDF766}">
  <ds:schemaRefs>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00AAB1A2-6F06-47dd-BE44-3A3FBBF21F4B"/>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6F025E9E-1CC6-44B3-BE5C-BA23ED478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12</Pages>
  <Words>1211</Words>
  <Characters>7390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Roskilde Handelsskole</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Danske Bank og Sparekassen Sjælland</dc:title>
  <dc:subject>PBL 2021 Finansiering</dc:subject>
  <dc:creator>Jesper Brygger</dc:creator>
  <cp:keywords/>
  <dc:description/>
  <cp:lastModifiedBy>Jesper Brygger</cp:lastModifiedBy>
  <cp:revision>9</cp:revision>
  <dcterms:created xsi:type="dcterms:W3CDTF">2021-02-05T07:36:00Z</dcterms:created>
  <dcterms:modified xsi:type="dcterms:W3CDTF">2021-05-05T07:02:00Z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0x010100CBAA1A441F4C43BD88A08F2187D46B0800C0528B65C5FCF94BA954085BE529A259</vt:lpwstr>
  </property>
</Properties>
</file>