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1D" w:rsidRPr="00882C1D" w:rsidRDefault="00882C1D" w:rsidP="00882C1D">
      <w:pPr>
        <w:autoSpaceDE w:val="0"/>
        <w:autoSpaceDN w:val="0"/>
        <w:adjustRightInd w:val="0"/>
        <w:spacing w:after="0" w:line="240" w:lineRule="auto"/>
        <w:rPr>
          <w:rFonts w:ascii="Times New Roman" w:hAnsi="Times New Roman" w:cs="Times New Roman"/>
          <w:b/>
          <w:color w:val="000000"/>
          <w:sz w:val="32"/>
          <w:szCs w:val="32"/>
        </w:rPr>
      </w:pPr>
      <w:r w:rsidRPr="00882C1D">
        <w:rPr>
          <w:rFonts w:ascii="Times New Roman" w:hAnsi="Times New Roman" w:cs="Times New Roman"/>
          <w:b/>
          <w:color w:val="000000"/>
          <w:sz w:val="32"/>
          <w:szCs w:val="32"/>
        </w:rPr>
        <w:t xml:space="preserve">Risici ved </w:t>
      </w:r>
      <w:r>
        <w:rPr>
          <w:rFonts w:ascii="Times New Roman" w:hAnsi="Times New Roman" w:cs="Times New Roman"/>
          <w:b/>
          <w:color w:val="000000"/>
          <w:sz w:val="32"/>
          <w:szCs w:val="32"/>
        </w:rPr>
        <w:t>i</w:t>
      </w:r>
      <w:r w:rsidRPr="00882C1D">
        <w:rPr>
          <w:rFonts w:ascii="Times New Roman" w:hAnsi="Times New Roman" w:cs="Times New Roman"/>
          <w:b/>
          <w:color w:val="000000"/>
          <w:sz w:val="32"/>
          <w:szCs w:val="32"/>
        </w:rPr>
        <w:t>nternationale investeringer:</w:t>
      </w:r>
    </w:p>
    <w:p w:rsidR="00882C1D" w:rsidRPr="00882C1D" w:rsidRDefault="00882C1D" w:rsidP="00882C1D">
      <w:pPr>
        <w:autoSpaceDE w:val="0"/>
        <w:autoSpaceDN w:val="0"/>
        <w:adjustRightInd w:val="0"/>
        <w:spacing w:after="0" w:line="240" w:lineRule="auto"/>
        <w:rPr>
          <w:rFonts w:ascii="Times New Roman" w:hAnsi="Times New Roman" w:cs="Times New Roman"/>
          <w:b/>
          <w:color w:val="000000"/>
          <w:sz w:val="32"/>
          <w:szCs w:val="32"/>
        </w:rPr>
      </w:pPr>
    </w:p>
    <w:p w:rsidR="00882C1D" w:rsidRPr="00882C1D" w:rsidRDefault="00882C1D" w:rsidP="00882C1D">
      <w:pPr>
        <w:autoSpaceDE w:val="0"/>
        <w:autoSpaceDN w:val="0"/>
        <w:adjustRightInd w:val="0"/>
        <w:spacing w:after="0" w:line="240" w:lineRule="auto"/>
        <w:rPr>
          <w:rFonts w:ascii="Times New Roman" w:hAnsi="Times New Roman" w:cs="Times New Roman"/>
          <w:color w:val="000000"/>
          <w:sz w:val="23"/>
          <w:szCs w:val="23"/>
        </w:rPr>
      </w:pPr>
      <w:r w:rsidRPr="00882C1D">
        <w:rPr>
          <w:rFonts w:ascii="Times New Roman" w:hAnsi="Times New Roman" w:cs="Times New Roman"/>
          <w:color w:val="000000"/>
          <w:sz w:val="23"/>
          <w:szCs w:val="23"/>
        </w:rPr>
        <w:t xml:space="preserve">Der findes forskellige måder at opgøre øvrige risici ved international investering. </w:t>
      </w:r>
      <w:proofErr w:type="spellStart"/>
      <w:r w:rsidRPr="00882C1D">
        <w:rPr>
          <w:rFonts w:ascii="Times New Roman" w:hAnsi="Times New Roman" w:cs="Times New Roman"/>
          <w:color w:val="000000"/>
          <w:sz w:val="23"/>
          <w:szCs w:val="23"/>
        </w:rPr>
        <w:t>Political</w:t>
      </w:r>
      <w:proofErr w:type="spellEnd"/>
      <w:r w:rsidRPr="00882C1D">
        <w:rPr>
          <w:rFonts w:ascii="Times New Roman" w:hAnsi="Times New Roman" w:cs="Times New Roman"/>
          <w:color w:val="000000"/>
          <w:sz w:val="23"/>
          <w:szCs w:val="23"/>
        </w:rPr>
        <w:t xml:space="preserve"> </w:t>
      </w:r>
      <w:proofErr w:type="spellStart"/>
      <w:r w:rsidRPr="00882C1D">
        <w:rPr>
          <w:rFonts w:ascii="Times New Roman" w:hAnsi="Times New Roman" w:cs="Times New Roman"/>
          <w:color w:val="000000"/>
          <w:sz w:val="23"/>
          <w:szCs w:val="23"/>
        </w:rPr>
        <w:t>Risk</w:t>
      </w:r>
      <w:proofErr w:type="spellEnd"/>
      <w:r w:rsidRPr="00882C1D">
        <w:rPr>
          <w:rFonts w:ascii="Times New Roman" w:hAnsi="Times New Roman" w:cs="Times New Roman"/>
          <w:color w:val="000000"/>
          <w:sz w:val="23"/>
          <w:szCs w:val="23"/>
        </w:rPr>
        <w:t xml:space="preserve"> Services (PRS Group) er et firma der har specialiseret sig i, at udarbejde analyser der kvantificerer en række forskellige forhold, som alle har med landespecifik risiko at gøre. PRS inddeler forholdene i 3 overordnede grupper: Politiske risikovariable, finansielle risikovariable og økonomiske risikovariable</w:t>
      </w:r>
      <w:r w:rsidRPr="00882C1D">
        <w:rPr>
          <w:rFonts w:ascii="Times New Roman" w:hAnsi="Times New Roman" w:cs="Times New Roman"/>
          <w:color w:val="000000"/>
          <w:sz w:val="16"/>
          <w:szCs w:val="16"/>
        </w:rPr>
        <w:t>45</w:t>
      </w:r>
      <w:r w:rsidRPr="00882C1D">
        <w:rPr>
          <w:rFonts w:ascii="Times New Roman" w:hAnsi="Times New Roman" w:cs="Times New Roman"/>
          <w:color w:val="000000"/>
          <w:sz w:val="23"/>
          <w:szCs w:val="23"/>
        </w:rPr>
        <w:t>. Politiske variable vægtes dobbelt så tungt som de øvrige, når den samlede rating finder sted. Min litteratur oplyser, at der findes andre konkurrerende firmaer som udfører lignende analyser, men jeg har valgt at beskrive faktorerne ud fra PRS' opgørelsesmetode</w:t>
      </w:r>
      <w:r>
        <w:rPr>
          <w:rFonts w:ascii="Times New Roman" w:hAnsi="Times New Roman" w:cs="Times New Roman"/>
          <w:color w:val="000000"/>
          <w:sz w:val="23"/>
          <w:szCs w:val="23"/>
        </w:rPr>
        <w:t>.</w:t>
      </w:r>
      <w:r w:rsidRPr="00882C1D">
        <w:rPr>
          <w:rFonts w:ascii="Times New Roman" w:hAnsi="Times New Roman" w:cs="Times New Roman"/>
          <w:color w:val="000000"/>
          <w:sz w:val="20"/>
          <w:szCs w:val="20"/>
        </w:rPr>
        <w:t xml:space="preserve"> </w:t>
      </w:r>
    </w:p>
    <w:p w:rsidR="00882C1D" w:rsidRDefault="00882C1D" w:rsidP="00882C1D">
      <w:pPr>
        <w:autoSpaceDE w:val="0"/>
        <w:autoSpaceDN w:val="0"/>
        <w:adjustRightInd w:val="0"/>
        <w:spacing w:after="0" w:line="240" w:lineRule="auto"/>
        <w:rPr>
          <w:rFonts w:ascii="Cambria" w:hAnsi="Cambria" w:cs="Cambria"/>
          <w:b/>
          <w:bCs/>
          <w:color w:val="000000"/>
          <w:sz w:val="26"/>
          <w:szCs w:val="26"/>
        </w:rPr>
      </w:pPr>
    </w:p>
    <w:p w:rsidR="00882C1D" w:rsidRPr="00882C1D" w:rsidRDefault="00882C1D" w:rsidP="00882C1D">
      <w:pPr>
        <w:autoSpaceDE w:val="0"/>
        <w:autoSpaceDN w:val="0"/>
        <w:adjustRightInd w:val="0"/>
        <w:spacing w:after="0" w:line="240" w:lineRule="auto"/>
        <w:rPr>
          <w:rFonts w:ascii="Cambria" w:hAnsi="Cambria" w:cs="Cambria"/>
          <w:color w:val="000000"/>
          <w:sz w:val="26"/>
          <w:szCs w:val="26"/>
        </w:rPr>
      </w:pPr>
      <w:r w:rsidRPr="00882C1D">
        <w:rPr>
          <w:rFonts w:ascii="Cambria" w:hAnsi="Cambria" w:cs="Cambria"/>
          <w:b/>
          <w:bCs/>
          <w:color w:val="000000"/>
          <w:sz w:val="26"/>
          <w:szCs w:val="26"/>
        </w:rPr>
        <w:t xml:space="preserve">12.1 Politisk risiko </w:t>
      </w:r>
    </w:p>
    <w:p w:rsidR="00882C1D" w:rsidRDefault="00882C1D" w:rsidP="00882C1D">
      <w:pPr>
        <w:autoSpaceDE w:val="0"/>
        <w:autoSpaceDN w:val="0"/>
        <w:adjustRightInd w:val="0"/>
        <w:spacing w:after="0" w:line="240" w:lineRule="auto"/>
        <w:rPr>
          <w:rFonts w:ascii="Times New Roman" w:hAnsi="Times New Roman" w:cs="Times New Roman"/>
          <w:color w:val="000000"/>
          <w:sz w:val="23"/>
          <w:szCs w:val="23"/>
        </w:rPr>
      </w:pPr>
      <w:r w:rsidRPr="00882C1D">
        <w:rPr>
          <w:rFonts w:ascii="Times New Roman" w:hAnsi="Times New Roman" w:cs="Times New Roman"/>
          <w:color w:val="000000"/>
          <w:sz w:val="23"/>
          <w:szCs w:val="23"/>
        </w:rPr>
        <w:t>Med politisk risiko menes overordnet set, risikoen for at en regering ændrer spillets regler eller bryder et løfte, efter investeringen er foretaget. Politisk risiko findes naturligvis også herhjemme, men der er nogle steder i verden, hvor udenland</w:t>
      </w:r>
      <w:r w:rsidR="00AB515B">
        <w:rPr>
          <w:rFonts w:ascii="Times New Roman" w:hAnsi="Times New Roman" w:cs="Times New Roman"/>
          <w:color w:val="000000"/>
          <w:sz w:val="23"/>
          <w:szCs w:val="23"/>
        </w:rPr>
        <w:t>ske selskaber er mere udsatte.</w:t>
      </w:r>
      <w:r w:rsidRPr="00882C1D">
        <w:rPr>
          <w:rFonts w:ascii="Times New Roman" w:hAnsi="Times New Roman" w:cs="Times New Roman"/>
          <w:color w:val="000000"/>
          <w:sz w:val="23"/>
          <w:szCs w:val="23"/>
        </w:rPr>
        <w:t xml:space="preserve"> </w:t>
      </w:r>
    </w:p>
    <w:p w:rsidR="00882C1D" w:rsidRDefault="00882C1D" w:rsidP="00882C1D">
      <w:pPr>
        <w:autoSpaceDE w:val="0"/>
        <w:autoSpaceDN w:val="0"/>
        <w:adjustRightInd w:val="0"/>
        <w:spacing w:after="0" w:line="240" w:lineRule="auto"/>
        <w:rPr>
          <w:rFonts w:ascii="Times New Roman" w:hAnsi="Times New Roman" w:cs="Times New Roman"/>
          <w:color w:val="000000"/>
          <w:sz w:val="23"/>
          <w:szCs w:val="23"/>
        </w:rPr>
      </w:pPr>
      <w:r w:rsidRPr="00882C1D">
        <w:rPr>
          <w:rFonts w:ascii="Times New Roman" w:hAnsi="Times New Roman" w:cs="Times New Roman"/>
          <w:color w:val="000000"/>
          <w:sz w:val="23"/>
          <w:szCs w:val="23"/>
        </w:rPr>
        <w:t>Iflg. PRS' opgørelsesmetode bliver</w:t>
      </w:r>
      <w:r>
        <w:rPr>
          <w:rFonts w:ascii="Times New Roman" w:hAnsi="Times New Roman" w:cs="Times New Roman"/>
          <w:color w:val="000000"/>
          <w:sz w:val="23"/>
          <w:szCs w:val="23"/>
        </w:rPr>
        <w:t xml:space="preserve"> h</w:t>
      </w:r>
      <w:r w:rsidRPr="00882C1D">
        <w:rPr>
          <w:rFonts w:ascii="Times New Roman" w:hAnsi="Times New Roman" w:cs="Times New Roman"/>
          <w:color w:val="000000"/>
          <w:sz w:val="23"/>
          <w:szCs w:val="23"/>
        </w:rPr>
        <w:t>vert lands politiske risiko vurderet</w:t>
      </w:r>
      <w:r>
        <w:rPr>
          <w:rFonts w:ascii="Times New Roman" w:hAnsi="Times New Roman" w:cs="Times New Roman"/>
          <w:color w:val="000000"/>
          <w:sz w:val="23"/>
          <w:szCs w:val="23"/>
        </w:rPr>
        <w:t xml:space="preserve"> </w:t>
      </w:r>
      <w:r w:rsidRPr="00882C1D">
        <w:rPr>
          <w:rFonts w:ascii="Times New Roman" w:hAnsi="Times New Roman" w:cs="Times New Roman"/>
          <w:color w:val="000000"/>
          <w:sz w:val="23"/>
          <w:szCs w:val="23"/>
        </w:rPr>
        <w:t>i forhold til 12 forskellige variable.</w:t>
      </w:r>
    </w:p>
    <w:p w:rsidR="00882C1D" w:rsidRPr="00882C1D" w:rsidRDefault="00882C1D" w:rsidP="00882C1D">
      <w:pPr>
        <w:autoSpaceDE w:val="0"/>
        <w:autoSpaceDN w:val="0"/>
        <w:adjustRightInd w:val="0"/>
        <w:spacing w:after="0" w:line="240" w:lineRule="auto"/>
        <w:rPr>
          <w:rFonts w:ascii="Times New Roman" w:hAnsi="Times New Roman" w:cs="Times New Roman"/>
          <w:b/>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492"/>
        <w:gridCol w:w="3492"/>
      </w:tblGrid>
      <w:tr w:rsidR="00882C1D" w:rsidRPr="00882C1D">
        <w:trPr>
          <w:trHeight w:val="100"/>
        </w:trPr>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Regeringens stabilitet </w:t>
            </w:r>
          </w:p>
        </w:tc>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p>
        </w:tc>
      </w:tr>
      <w:tr w:rsidR="00882C1D" w:rsidRPr="00882C1D">
        <w:trPr>
          <w:trHeight w:val="100"/>
        </w:trPr>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Samfundsøkonomiske forhold </w:t>
            </w:r>
          </w:p>
        </w:tc>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Religiøse spændinger </w:t>
            </w:r>
          </w:p>
        </w:tc>
      </w:tr>
      <w:tr w:rsidR="00882C1D" w:rsidRPr="00882C1D">
        <w:trPr>
          <w:trHeight w:val="100"/>
        </w:trPr>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Investeringsprofil </w:t>
            </w:r>
          </w:p>
        </w:tc>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Offentlig orden </w:t>
            </w:r>
          </w:p>
        </w:tc>
      </w:tr>
      <w:tr w:rsidR="00882C1D" w:rsidRPr="00882C1D">
        <w:trPr>
          <w:trHeight w:val="100"/>
        </w:trPr>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Interne konflikter </w:t>
            </w:r>
          </w:p>
        </w:tc>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Etniske spændinger </w:t>
            </w:r>
          </w:p>
        </w:tc>
      </w:tr>
      <w:tr w:rsidR="00882C1D" w:rsidRPr="00882C1D">
        <w:trPr>
          <w:trHeight w:val="100"/>
        </w:trPr>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Eksterne konflikter </w:t>
            </w:r>
          </w:p>
        </w:tc>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Demokratisk ansvarlighed </w:t>
            </w:r>
          </w:p>
        </w:tc>
      </w:tr>
      <w:tr w:rsidR="00882C1D" w:rsidRPr="00882C1D">
        <w:trPr>
          <w:trHeight w:val="100"/>
        </w:trPr>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Korruption</w:t>
            </w:r>
          </w:p>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Militær i politik</w:t>
            </w:r>
          </w:p>
          <w:p w:rsidR="00882C1D" w:rsidRPr="00882C1D" w:rsidRDefault="00882C1D" w:rsidP="00AB515B">
            <w:pPr>
              <w:pStyle w:val="Listeafsnit"/>
              <w:autoSpaceDE w:val="0"/>
              <w:autoSpaceDN w:val="0"/>
              <w:adjustRightInd w:val="0"/>
              <w:spacing w:after="0" w:line="240" w:lineRule="auto"/>
              <w:rPr>
                <w:rFonts w:ascii="Times New Roman" w:hAnsi="Times New Roman" w:cs="Times New Roman"/>
                <w:b/>
                <w:color w:val="000000"/>
              </w:rPr>
            </w:pPr>
          </w:p>
        </w:tc>
        <w:tc>
          <w:tcPr>
            <w:tcW w:w="3492" w:type="dxa"/>
          </w:tcPr>
          <w:p w:rsidR="00882C1D" w:rsidRPr="00882C1D" w:rsidRDefault="00882C1D" w:rsidP="00882C1D">
            <w:pPr>
              <w:pStyle w:val="Listeafsnit"/>
              <w:numPr>
                <w:ilvl w:val="0"/>
                <w:numId w:val="1"/>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Bureaukratisk kvalitet </w:t>
            </w:r>
          </w:p>
        </w:tc>
      </w:tr>
    </w:tbl>
    <w:p w:rsidR="00882C1D" w:rsidRDefault="00882C1D" w:rsidP="00882C1D">
      <w:pPr>
        <w:pStyle w:val="Default"/>
        <w:rPr>
          <w:sz w:val="23"/>
          <w:szCs w:val="23"/>
        </w:rPr>
      </w:pPr>
    </w:p>
    <w:p w:rsidR="00882C1D" w:rsidRPr="00882C1D" w:rsidRDefault="00882C1D" w:rsidP="00882C1D">
      <w:pPr>
        <w:autoSpaceDE w:val="0"/>
        <w:autoSpaceDN w:val="0"/>
        <w:adjustRightInd w:val="0"/>
        <w:spacing w:after="0" w:line="240" w:lineRule="auto"/>
        <w:rPr>
          <w:rFonts w:ascii="Cambria" w:hAnsi="Cambria" w:cs="Cambria"/>
          <w:color w:val="000000"/>
          <w:sz w:val="26"/>
          <w:szCs w:val="26"/>
        </w:rPr>
      </w:pPr>
      <w:r w:rsidRPr="00882C1D">
        <w:rPr>
          <w:rFonts w:ascii="Cambria" w:hAnsi="Cambria" w:cs="Cambria"/>
          <w:b/>
          <w:bCs/>
          <w:color w:val="000000"/>
          <w:sz w:val="26"/>
          <w:szCs w:val="26"/>
        </w:rPr>
        <w:t xml:space="preserve">12.2 Finansiel risiko </w:t>
      </w:r>
    </w:p>
    <w:p w:rsidR="00882C1D" w:rsidRDefault="00882C1D" w:rsidP="00882C1D">
      <w:pPr>
        <w:autoSpaceDE w:val="0"/>
        <w:autoSpaceDN w:val="0"/>
        <w:adjustRightInd w:val="0"/>
        <w:spacing w:after="0" w:line="240" w:lineRule="auto"/>
        <w:rPr>
          <w:rFonts w:ascii="Times New Roman" w:hAnsi="Times New Roman" w:cs="Times New Roman"/>
          <w:color w:val="000000"/>
          <w:sz w:val="23"/>
          <w:szCs w:val="23"/>
        </w:rPr>
      </w:pPr>
      <w:r w:rsidRPr="00882C1D">
        <w:rPr>
          <w:rFonts w:ascii="Times New Roman" w:hAnsi="Times New Roman" w:cs="Times New Roman"/>
          <w:color w:val="000000"/>
          <w:sz w:val="23"/>
          <w:szCs w:val="23"/>
        </w:rPr>
        <w:t>Et lands finansielle risiko, knytter sig til dets mulighed for at betale hvad der skal betales. Herunder offentlig, kommerciel og s</w:t>
      </w:r>
      <w:r w:rsidR="00AB515B">
        <w:rPr>
          <w:rFonts w:ascii="Times New Roman" w:hAnsi="Times New Roman" w:cs="Times New Roman"/>
          <w:color w:val="000000"/>
          <w:sz w:val="23"/>
          <w:szCs w:val="23"/>
        </w:rPr>
        <w:t>amhandelens gældsforpligtelser</w:t>
      </w:r>
      <w:r w:rsidRPr="00882C1D">
        <w:rPr>
          <w:rFonts w:ascii="Times New Roman" w:hAnsi="Times New Roman" w:cs="Times New Roman"/>
          <w:color w:val="000000"/>
          <w:sz w:val="23"/>
          <w:szCs w:val="23"/>
        </w:rPr>
        <w:t>. Den finansielle risiko bliver målt ud fra følgende 5 variable:</w:t>
      </w:r>
    </w:p>
    <w:p w:rsidR="00882C1D" w:rsidRPr="00882C1D" w:rsidRDefault="00882C1D" w:rsidP="00882C1D">
      <w:pPr>
        <w:autoSpaceDE w:val="0"/>
        <w:autoSpaceDN w:val="0"/>
        <w:adjustRightInd w:val="0"/>
        <w:spacing w:after="0" w:line="240" w:lineRule="auto"/>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024"/>
        <w:gridCol w:w="4024"/>
      </w:tblGrid>
      <w:tr w:rsidR="00882C1D" w:rsidRPr="00882C1D">
        <w:trPr>
          <w:trHeight w:val="100"/>
        </w:trPr>
        <w:tc>
          <w:tcPr>
            <w:tcW w:w="4024" w:type="dxa"/>
          </w:tcPr>
          <w:p w:rsidR="00882C1D" w:rsidRPr="00882C1D" w:rsidRDefault="00882C1D" w:rsidP="00882C1D">
            <w:pPr>
              <w:pStyle w:val="Listeafsnit"/>
              <w:numPr>
                <w:ilvl w:val="0"/>
                <w:numId w:val="2"/>
              </w:numPr>
              <w:autoSpaceDE w:val="0"/>
              <w:autoSpaceDN w:val="0"/>
              <w:adjustRightInd w:val="0"/>
              <w:spacing w:after="0" w:line="240" w:lineRule="auto"/>
              <w:rPr>
                <w:rFonts w:ascii="Cambria" w:hAnsi="Cambria" w:cs="Cambria"/>
                <w:b/>
                <w:color w:val="000000"/>
              </w:rPr>
            </w:pPr>
            <w:r w:rsidRPr="00882C1D">
              <w:rPr>
                <w:rFonts w:ascii="Times New Roman" w:hAnsi="Times New Roman" w:cs="Times New Roman"/>
                <w:b/>
                <w:color w:val="000000"/>
              </w:rPr>
              <w:t xml:space="preserve">Udlandsgæld i % af BNP </w:t>
            </w:r>
          </w:p>
        </w:tc>
        <w:tc>
          <w:tcPr>
            <w:tcW w:w="4024" w:type="dxa"/>
          </w:tcPr>
          <w:p w:rsidR="00882C1D" w:rsidRPr="00882C1D" w:rsidRDefault="00882C1D" w:rsidP="00882C1D">
            <w:pPr>
              <w:pStyle w:val="Listeafsnit"/>
              <w:numPr>
                <w:ilvl w:val="0"/>
                <w:numId w:val="2"/>
              </w:numPr>
              <w:autoSpaceDE w:val="0"/>
              <w:autoSpaceDN w:val="0"/>
              <w:adjustRightInd w:val="0"/>
              <w:spacing w:after="0" w:line="240" w:lineRule="auto"/>
              <w:rPr>
                <w:rFonts w:ascii="Cambria" w:hAnsi="Cambria" w:cs="Cambria"/>
                <w:b/>
                <w:color w:val="000000"/>
              </w:rPr>
            </w:pPr>
            <w:r w:rsidRPr="00882C1D">
              <w:rPr>
                <w:rFonts w:ascii="Times New Roman" w:hAnsi="Times New Roman" w:cs="Times New Roman"/>
                <w:b/>
                <w:color w:val="000000"/>
              </w:rPr>
              <w:t xml:space="preserve">Netto likviditet i måneder med import </w:t>
            </w:r>
          </w:p>
        </w:tc>
      </w:tr>
      <w:tr w:rsidR="00882C1D" w:rsidRPr="00882C1D">
        <w:trPr>
          <w:trHeight w:val="100"/>
        </w:trPr>
        <w:tc>
          <w:tcPr>
            <w:tcW w:w="4024" w:type="dxa"/>
          </w:tcPr>
          <w:p w:rsidR="00882C1D" w:rsidRPr="00882C1D" w:rsidRDefault="00882C1D" w:rsidP="00882C1D">
            <w:pPr>
              <w:pStyle w:val="Listeafsnit"/>
              <w:numPr>
                <w:ilvl w:val="0"/>
                <w:numId w:val="2"/>
              </w:numPr>
              <w:autoSpaceDE w:val="0"/>
              <w:autoSpaceDN w:val="0"/>
              <w:adjustRightInd w:val="0"/>
              <w:spacing w:after="0" w:line="240" w:lineRule="auto"/>
              <w:rPr>
                <w:rFonts w:ascii="Cambria" w:hAnsi="Cambria" w:cs="Cambria"/>
                <w:b/>
                <w:color w:val="000000"/>
              </w:rPr>
            </w:pPr>
            <w:r w:rsidRPr="00882C1D">
              <w:rPr>
                <w:rFonts w:ascii="Times New Roman" w:hAnsi="Times New Roman" w:cs="Times New Roman"/>
                <w:b/>
                <w:color w:val="000000"/>
              </w:rPr>
              <w:t xml:space="preserve">Udenlandsk gældsservicering i % af eksport </w:t>
            </w:r>
          </w:p>
        </w:tc>
        <w:tc>
          <w:tcPr>
            <w:tcW w:w="4024" w:type="dxa"/>
          </w:tcPr>
          <w:p w:rsidR="00882C1D" w:rsidRPr="00882C1D" w:rsidRDefault="00882C1D" w:rsidP="00882C1D">
            <w:pPr>
              <w:pStyle w:val="Listeafsnit"/>
              <w:numPr>
                <w:ilvl w:val="0"/>
                <w:numId w:val="2"/>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Valutakursstabilitet </w:t>
            </w:r>
          </w:p>
        </w:tc>
      </w:tr>
      <w:tr w:rsidR="00882C1D" w:rsidRPr="00882C1D">
        <w:trPr>
          <w:trHeight w:val="100"/>
        </w:trPr>
        <w:tc>
          <w:tcPr>
            <w:tcW w:w="8048" w:type="dxa"/>
            <w:gridSpan w:val="2"/>
          </w:tcPr>
          <w:p w:rsidR="00882C1D" w:rsidRPr="00882C1D" w:rsidRDefault="00882C1D" w:rsidP="00882C1D">
            <w:pPr>
              <w:pStyle w:val="Listeafsnit"/>
              <w:numPr>
                <w:ilvl w:val="0"/>
                <w:numId w:val="2"/>
              </w:numPr>
              <w:autoSpaceDE w:val="0"/>
              <w:autoSpaceDN w:val="0"/>
              <w:adjustRightInd w:val="0"/>
              <w:spacing w:after="0" w:line="240" w:lineRule="auto"/>
              <w:rPr>
                <w:rFonts w:ascii="Times New Roman" w:hAnsi="Times New Roman" w:cs="Times New Roman"/>
                <w:b/>
                <w:color w:val="000000"/>
              </w:rPr>
            </w:pPr>
            <w:r w:rsidRPr="00882C1D">
              <w:rPr>
                <w:rFonts w:ascii="Times New Roman" w:hAnsi="Times New Roman" w:cs="Times New Roman"/>
                <w:b/>
                <w:color w:val="000000"/>
              </w:rPr>
              <w:t xml:space="preserve">Betalingsbalancens løbende poster </w:t>
            </w:r>
          </w:p>
        </w:tc>
      </w:tr>
    </w:tbl>
    <w:p w:rsidR="00AB515B" w:rsidRDefault="00AB515B" w:rsidP="00882C1D">
      <w:pPr>
        <w:pStyle w:val="Default"/>
        <w:rPr>
          <w:b/>
          <w:sz w:val="28"/>
          <w:szCs w:val="28"/>
        </w:rPr>
      </w:pPr>
    </w:p>
    <w:p w:rsidR="00AB515B" w:rsidRDefault="00AB515B" w:rsidP="00AB515B">
      <w:pPr>
        <w:autoSpaceDE w:val="0"/>
        <w:autoSpaceDN w:val="0"/>
        <w:adjustRightInd w:val="0"/>
        <w:spacing w:after="0" w:line="240" w:lineRule="auto"/>
        <w:rPr>
          <w:rFonts w:ascii="Cambria" w:hAnsi="Cambria" w:cs="Cambria"/>
          <w:b/>
          <w:bCs/>
          <w:color w:val="000000"/>
          <w:sz w:val="26"/>
          <w:szCs w:val="26"/>
        </w:rPr>
      </w:pPr>
      <w:r w:rsidRPr="00AB515B">
        <w:rPr>
          <w:rFonts w:ascii="Cambria" w:hAnsi="Cambria" w:cs="Cambria"/>
          <w:b/>
          <w:bCs/>
          <w:color w:val="000000"/>
          <w:sz w:val="26"/>
          <w:szCs w:val="26"/>
        </w:rPr>
        <w:t xml:space="preserve">12.3 Økonomisk risiko </w:t>
      </w:r>
    </w:p>
    <w:p w:rsidR="00AB515B" w:rsidRDefault="00AB515B" w:rsidP="00AB515B">
      <w:pPr>
        <w:autoSpaceDE w:val="0"/>
        <w:autoSpaceDN w:val="0"/>
        <w:adjustRightInd w:val="0"/>
        <w:spacing w:after="0" w:line="240" w:lineRule="auto"/>
        <w:rPr>
          <w:rFonts w:ascii="Times New Roman" w:hAnsi="Times New Roman" w:cs="Times New Roman"/>
          <w:color w:val="000000"/>
          <w:sz w:val="23"/>
          <w:szCs w:val="23"/>
        </w:rPr>
      </w:pPr>
      <w:r w:rsidRPr="00AB515B">
        <w:rPr>
          <w:rFonts w:ascii="Times New Roman" w:hAnsi="Times New Roman" w:cs="Times New Roman"/>
          <w:color w:val="000000"/>
          <w:sz w:val="23"/>
          <w:szCs w:val="23"/>
        </w:rPr>
        <w:t>Den sidste gruppe omhandler landets økonomiske risiko, og skal give et overordnet estimat af styrker og svagheder ved sådanne forhold. I økonomisk risiko indgår følgende variable</w:t>
      </w:r>
      <w:r>
        <w:rPr>
          <w:rFonts w:ascii="Times New Roman" w:hAnsi="Times New Roman" w:cs="Times New Roman"/>
          <w:color w:val="000000"/>
          <w:sz w:val="23"/>
          <w:szCs w:val="23"/>
        </w:rPr>
        <w:t>:</w:t>
      </w:r>
    </w:p>
    <w:tbl>
      <w:tblPr>
        <w:tblW w:w="0" w:type="auto"/>
        <w:tblBorders>
          <w:top w:val="nil"/>
          <w:left w:val="nil"/>
          <w:bottom w:val="nil"/>
          <w:right w:val="nil"/>
        </w:tblBorders>
        <w:tblLayout w:type="fixed"/>
        <w:tblLook w:val="0000" w:firstRow="0" w:lastRow="0" w:firstColumn="0" w:lastColumn="0" w:noHBand="0" w:noVBand="0"/>
      </w:tblPr>
      <w:tblGrid>
        <w:gridCol w:w="4439"/>
        <w:gridCol w:w="4439"/>
      </w:tblGrid>
      <w:tr w:rsidR="00AB515B" w:rsidRPr="00AB515B">
        <w:trPr>
          <w:trHeight w:val="100"/>
        </w:trPr>
        <w:tc>
          <w:tcPr>
            <w:tcW w:w="4439" w:type="dxa"/>
          </w:tcPr>
          <w:p w:rsidR="00AB515B" w:rsidRPr="00AB515B" w:rsidRDefault="00AB515B" w:rsidP="00AB515B">
            <w:pPr>
              <w:pStyle w:val="Listeafsnit"/>
              <w:numPr>
                <w:ilvl w:val="0"/>
                <w:numId w:val="3"/>
              </w:numPr>
              <w:autoSpaceDE w:val="0"/>
              <w:autoSpaceDN w:val="0"/>
              <w:adjustRightInd w:val="0"/>
              <w:spacing w:after="0" w:line="240" w:lineRule="auto"/>
              <w:rPr>
                <w:rFonts w:ascii="Times New Roman" w:hAnsi="Times New Roman" w:cs="Times New Roman"/>
                <w:b/>
                <w:color w:val="000000"/>
                <w:sz w:val="23"/>
                <w:szCs w:val="23"/>
              </w:rPr>
            </w:pPr>
          </w:p>
          <w:p w:rsidR="00AB515B" w:rsidRPr="00AB515B" w:rsidRDefault="00AB515B" w:rsidP="00AB515B">
            <w:pPr>
              <w:pStyle w:val="Listeafsnit"/>
              <w:numPr>
                <w:ilvl w:val="0"/>
                <w:numId w:val="3"/>
              </w:numPr>
              <w:autoSpaceDE w:val="0"/>
              <w:autoSpaceDN w:val="0"/>
              <w:adjustRightInd w:val="0"/>
              <w:spacing w:after="0" w:line="240" w:lineRule="auto"/>
              <w:rPr>
                <w:rFonts w:ascii="Times New Roman" w:hAnsi="Times New Roman" w:cs="Times New Roman"/>
                <w:b/>
                <w:color w:val="000000"/>
              </w:rPr>
            </w:pPr>
            <w:r w:rsidRPr="00AB515B">
              <w:rPr>
                <w:rFonts w:ascii="Times New Roman" w:hAnsi="Times New Roman" w:cs="Times New Roman"/>
                <w:b/>
                <w:color w:val="000000"/>
              </w:rPr>
              <w:t xml:space="preserve">BNP pr. indbygger </w:t>
            </w:r>
          </w:p>
        </w:tc>
        <w:tc>
          <w:tcPr>
            <w:tcW w:w="4439" w:type="dxa"/>
          </w:tcPr>
          <w:p w:rsidR="00AB515B" w:rsidRPr="00AB515B" w:rsidRDefault="00AB515B" w:rsidP="00AB515B">
            <w:pPr>
              <w:pStyle w:val="Listeafsnit"/>
              <w:numPr>
                <w:ilvl w:val="0"/>
                <w:numId w:val="3"/>
              </w:numPr>
              <w:autoSpaceDE w:val="0"/>
              <w:autoSpaceDN w:val="0"/>
              <w:adjustRightInd w:val="0"/>
              <w:spacing w:after="0" w:line="240" w:lineRule="auto"/>
              <w:rPr>
                <w:rFonts w:ascii="Times New Roman" w:hAnsi="Times New Roman" w:cs="Times New Roman"/>
                <w:b/>
                <w:color w:val="000000"/>
              </w:rPr>
            </w:pPr>
          </w:p>
          <w:p w:rsidR="00AB515B" w:rsidRPr="00AB515B" w:rsidRDefault="00AB515B" w:rsidP="00AB515B">
            <w:pPr>
              <w:pStyle w:val="Listeafsnit"/>
              <w:numPr>
                <w:ilvl w:val="0"/>
                <w:numId w:val="3"/>
              </w:numPr>
              <w:autoSpaceDE w:val="0"/>
              <w:autoSpaceDN w:val="0"/>
              <w:adjustRightInd w:val="0"/>
              <w:spacing w:after="0" w:line="240" w:lineRule="auto"/>
              <w:rPr>
                <w:rFonts w:ascii="Times New Roman" w:hAnsi="Times New Roman" w:cs="Times New Roman"/>
                <w:b/>
                <w:color w:val="000000"/>
              </w:rPr>
            </w:pPr>
            <w:r w:rsidRPr="00AB515B">
              <w:rPr>
                <w:rFonts w:ascii="Times New Roman" w:hAnsi="Times New Roman" w:cs="Times New Roman"/>
                <w:b/>
                <w:color w:val="000000"/>
              </w:rPr>
              <w:t xml:space="preserve">Budget balance i % af BNP </w:t>
            </w:r>
          </w:p>
        </w:tc>
      </w:tr>
      <w:tr w:rsidR="00AB515B" w:rsidRPr="00AB515B">
        <w:trPr>
          <w:trHeight w:val="100"/>
        </w:trPr>
        <w:tc>
          <w:tcPr>
            <w:tcW w:w="4439" w:type="dxa"/>
          </w:tcPr>
          <w:p w:rsidR="00AB515B" w:rsidRPr="00AB515B" w:rsidRDefault="00AB515B" w:rsidP="00AB515B">
            <w:pPr>
              <w:pStyle w:val="Listeafsnit"/>
              <w:numPr>
                <w:ilvl w:val="0"/>
                <w:numId w:val="3"/>
              </w:numPr>
              <w:autoSpaceDE w:val="0"/>
              <w:autoSpaceDN w:val="0"/>
              <w:adjustRightInd w:val="0"/>
              <w:spacing w:after="0" w:line="240" w:lineRule="auto"/>
              <w:rPr>
                <w:rFonts w:ascii="Times New Roman" w:hAnsi="Times New Roman" w:cs="Times New Roman"/>
                <w:b/>
                <w:color w:val="000000"/>
              </w:rPr>
            </w:pPr>
            <w:r w:rsidRPr="00AB515B">
              <w:rPr>
                <w:rFonts w:ascii="Times New Roman" w:hAnsi="Times New Roman" w:cs="Times New Roman"/>
                <w:b/>
                <w:color w:val="000000"/>
              </w:rPr>
              <w:t xml:space="preserve">Real årlig BNP vækst </w:t>
            </w:r>
          </w:p>
        </w:tc>
        <w:tc>
          <w:tcPr>
            <w:tcW w:w="4439" w:type="dxa"/>
          </w:tcPr>
          <w:p w:rsidR="00AB515B" w:rsidRPr="00AB515B" w:rsidRDefault="00AB515B" w:rsidP="00AB515B">
            <w:pPr>
              <w:pStyle w:val="Listeafsnit"/>
              <w:numPr>
                <w:ilvl w:val="0"/>
                <w:numId w:val="3"/>
              </w:numPr>
              <w:autoSpaceDE w:val="0"/>
              <w:autoSpaceDN w:val="0"/>
              <w:adjustRightInd w:val="0"/>
              <w:spacing w:after="0" w:line="240" w:lineRule="auto"/>
              <w:rPr>
                <w:rFonts w:ascii="Times New Roman" w:hAnsi="Times New Roman" w:cs="Times New Roman"/>
                <w:b/>
                <w:color w:val="000000"/>
              </w:rPr>
            </w:pPr>
            <w:r w:rsidRPr="00AB515B">
              <w:rPr>
                <w:rFonts w:ascii="Times New Roman" w:hAnsi="Times New Roman" w:cs="Times New Roman"/>
                <w:b/>
                <w:color w:val="000000"/>
              </w:rPr>
              <w:t xml:space="preserve">Betalingsbalancens løbende poster i % af BNP </w:t>
            </w:r>
          </w:p>
        </w:tc>
      </w:tr>
      <w:tr w:rsidR="00AB515B" w:rsidRPr="00AB515B">
        <w:trPr>
          <w:trHeight w:val="100"/>
        </w:trPr>
        <w:tc>
          <w:tcPr>
            <w:tcW w:w="8878" w:type="dxa"/>
            <w:gridSpan w:val="2"/>
          </w:tcPr>
          <w:p w:rsidR="00AB515B" w:rsidRDefault="00AB515B" w:rsidP="00AB515B">
            <w:pPr>
              <w:pStyle w:val="Listeafsnit"/>
              <w:numPr>
                <w:ilvl w:val="0"/>
                <w:numId w:val="3"/>
              </w:numPr>
              <w:autoSpaceDE w:val="0"/>
              <w:autoSpaceDN w:val="0"/>
              <w:adjustRightInd w:val="0"/>
              <w:spacing w:after="0" w:line="240" w:lineRule="auto"/>
              <w:rPr>
                <w:rFonts w:ascii="Times New Roman" w:hAnsi="Times New Roman" w:cs="Times New Roman"/>
                <w:b/>
                <w:color w:val="000000"/>
              </w:rPr>
            </w:pPr>
            <w:r w:rsidRPr="00AB515B">
              <w:rPr>
                <w:rFonts w:ascii="Times New Roman" w:hAnsi="Times New Roman" w:cs="Times New Roman"/>
                <w:b/>
                <w:color w:val="000000"/>
              </w:rPr>
              <w:t xml:space="preserve">Årlig inflationsrate </w:t>
            </w:r>
          </w:p>
          <w:p w:rsidR="00CA5444" w:rsidRPr="00AB515B" w:rsidRDefault="00CA5444" w:rsidP="00AB515B">
            <w:pPr>
              <w:pStyle w:val="Listeafsnit"/>
              <w:numPr>
                <w:ilvl w:val="0"/>
                <w:numId w:val="3"/>
              </w:numPr>
              <w:autoSpaceDE w:val="0"/>
              <w:autoSpaceDN w:val="0"/>
              <w:adjustRightInd w:val="0"/>
              <w:spacing w:after="0" w:line="240" w:lineRule="auto"/>
              <w:rPr>
                <w:rFonts w:ascii="Times New Roman" w:hAnsi="Times New Roman" w:cs="Times New Roman"/>
                <w:b/>
                <w:color w:val="000000"/>
              </w:rPr>
            </w:pPr>
          </w:p>
        </w:tc>
      </w:tr>
    </w:tbl>
    <w:p w:rsidR="00AB515B" w:rsidRDefault="00CA5444" w:rsidP="00AB515B">
      <w:pPr>
        <w:pStyle w:val="Default"/>
        <w:rPr>
          <w:sz w:val="23"/>
          <w:szCs w:val="23"/>
        </w:rPr>
      </w:pPr>
      <w:bookmarkStart w:id="0" w:name="_GoBack"/>
      <w:bookmarkEnd w:id="0"/>
      <w:r>
        <w:rPr>
          <w:sz w:val="23"/>
          <w:szCs w:val="23"/>
        </w:rPr>
        <w:t xml:space="preserve">Kilde; </w:t>
      </w:r>
      <w:r w:rsidRPr="00CA5444">
        <w:rPr>
          <w:sz w:val="23"/>
          <w:szCs w:val="23"/>
        </w:rPr>
        <w:t>http://studenttheses.cbs.dk/bitstream/handle/10417/3583/palle_troest_kristensen.pdf?sequence=1</w:t>
      </w:r>
    </w:p>
    <w:sectPr w:rsidR="00AB515B" w:rsidSect="007943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0F"/>
    <w:multiLevelType w:val="hybridMultilevel"/>
    <w:tmpl w:val="D4AAF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206760A"/>
    <w:multiLevelType w:val="hybridMultilevel"/>
    <w:tmpl w:val="5EC89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615780"/>
    <w:multiLevelType w:val="hybridMultilevel"/>
    <w:tmpl w:val="2CFC1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D6"/>
    <w:rsid w:val="000A49C1"/>
    <w:rsid w:val="000D6137"/>
    <w:rsid w:val="002E46D6"/>
    <w:rsid w:val="00366BE9"/>
    <w:rsid w:val="005904C4"/>
    <w:rsid w:val="005A0E6C"/>
    <w:rsid w:val="00674A69"/>
    <w:rsid w:val="00794369"/>
    <w:rsid w:val="00882C1D"/>
    <w:rsid w:val="00AB515B"/>
    <w:rsid w:val="00CA5444"/>
    <w:rsid w:val="00E3161A"/>
    <w:rsid w:val="00E77B4F"/>
    <w:rsid w:val="00EA0E9E"/>
    <w:rsid w:val="00F03222"/>
    <w:rsid w:val="00F949D5"/>
    <w:rsid w:val="00FC6889"/>
    <w:rsid w:val="00FD6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1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61A4"/>
    <w:rPr>
      <w:rFonts w:ascii="Tahoma" w:hAnsi="Tahoma" w:cs="Tahoma"/>
      <w:sz w:val="16"/>
      <w:szCs w:val="16"/>
    </w:rPr>
  </w:style>
  <w:style w:type="character" w:styleId="Hyperlink">
    <w:name w:val="Hyperlink"/>
    <w:basedOn w:val="Standardskrifttypeiafsnit"/>
    <w:uiPriority w:val="99"/>
    <w:unhideWhenUsed/>
    <w:rsid w:val="00E77B4F"/>
    <w:rPr>
      <w:strike w:val="0"/>
      <w:dstrike w:val="0"/>
      <w:color w:val="666666"/>
      <w:u w:val="none"/>
      <w:effect w:val="none"/>
      <w:shd w:val="clear" w:color="auto" w:fill="auto"/>
    </w:rPr>
  </w:style>
  <w:style w:type="paragraph" w:customStyle="1" w:styleId="Default">
    <w:name w:val="Default"/>
    <w:rsid w:val="00882C1D"/>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82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1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61A4"/>
    <w:rPr>
      <w:rFonts w:ascii="Tahoma" w:hAnsi="Tahoma" w:cs="Tahoma"/>
      <w:sz w:val="16"/>
      <w:szCs w:val="16"/>
    </w:rPr>
  </w:style>
  <w:style w:type="character" w:styleId="Hyperlink">
    <w:name w:val="Hyperlink"/>
    <w:basedOn w:val="Standardskrifttypeiafsnit"/>
    <w:uiPriority w:val="99"/>
    <w:unhideWhenUsed/>
    <w:rsid w:val="00E77B4F"/>
    <w:rPr>
      <w:strike w:val="0"/>
      <w:dstrike w:val="0"/>
      <w:color w:val="666666"/>
      <w:u w:val="none"/>
      <w:effect w:val="none"/>
      <w:shd w:val="clear" w:color="auto" w:fill="auto"/>
    </w:rPr>
  </w:style>
  <w:style w:type="paragraph" w:customStyle="1" w:styleId="Default">
    <w:name w:val="Default"/>
    <w:rsid w:val="00882C1D"/>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8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Brygger</dc:creator>
  <cp:lastModifiedBy>Jesper Brygger</cp:lastModifiedBy>
  <cp:revision>4</cp:revision>
  <dcterms:created xsi:type="dcterms:W3CDTF">2014-01-18T17:05:00Z</dcterms:created>
  <dcterms:modified xsi:type="dcterms:W3CDTF">2014-01-18T17:11:00Z</dcterms:modified>
</cp:coreProperties>
</file>