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4" w:rsidRPr="00561C6A" w:rsidRDefault="00987CC4" w:rsidP="00987CC4">
      <w:pPr>
        <w:jc w:val="both"/>
        <w:rPr>
          <w:sz w:val="28"/>
          <w:szCs w:val="28"/>
        </w:rPr>
      </w:pPr>
      <w:bookmarkStart w:id="0" w:name="_GoBack"/>
      <w:bookmarkEnd w:id="0"/>
    </w:p>
    <w:p w:rsidR="00987CC4" w:rsidRPr="00561C6A" w:rsidRDefault="00987CC4" w:rsidP="00987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4.1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561C6A">
        <w:rPr>
          <w:sz w:val="28"/>
          <w:szCs w:val="28"/>
        </w:rPr>
        <w:t>En obligation er et gældsbevis, hvor udstederen forpligter sig til at betale renter og afdrag i en bestemt periode på nærmere aftalte vilkår.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561C6A">
        <w:rPr>
          <w:sz w:val="28"/>
          <w:szCs w:val="28"/>
        </w:rPr>
        <w:t xml:space="preserve"> Danmark kan obligationsudstederne opdel</w:t>
      </w:r>
      <w:r>
        <w:rPr>
          <w:sz w:val="28"/>
          <w:szCs w:val="28"/>
        </w:rPr>
        <w:t>e</w:t>
      </w:r>
      <w:r w:rsidRPr="00561C6A">
        <w:rPr>
          <w:sz w:val="28"/>
          <w:szCs w:val="28"/>
        </w:rPr>
        <w:t xml:space="preserve">s i </w:t>
      </w:r>
      <w:r>
        <w:rPr>
          <w:sz w:val="28"/>
          <w:szCs w:val="28"/>
        </w:rPr>
        <w:t xml:space="preserve">følgende </w:t>
      </w:r>
      <w:r w:rsidRPr="00561C6A">
        <w:rPr>
          <w:sz w:val="28"/>
          <w:szCs w:val="28"/>
        </w:rPr>
        <w:t>tre hovedgrupper: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</w:p>
    <w:p w:rsidR="00987CC4" w:rsidRPr="00561C6A" w:rsidRDefault="00987CC4" w:rsidP="00987CC4">
      <w:pPr>
        <w:numPr>
          <w:ilvl w:val="0"/>
          <w:numId w:val="2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561C6A">
        <w:rPr>
          <w:sz w:val="28"/>
          <w:szCs w:val="28"/>
        </w:rPr>
        <w:t>Staten</w:t>
      </w:r>
    </w:p>
    <w:p w:rsidR="00987CC4" w:rsidRPr="00561C6A" w:rsidRDefault="00987CC4" w:rsidP="00987CC4">
      <w:pPr>
        <w:numPr>
          <w:ilvl w:val="0"/>
          <w:numId w:val="2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561C6A">
        <w:rPr>
          <w:sz w:val="28"/>
          <w:szCs w:val="28"/>
        </w:rPr>
        <w:t>Realkreditinstitutter</w:t>
      </w:r>
    </w:p>
    <w:p w:rsidR="00987CC4" w:rsidRPr="00561C6A" w:rsidRDefault="00987CC4" w:rsidP="00987CC4">
      <w:pPr>
        <w:numPr>
          <w:ilvl w:val="0"/>
          <w:numId w:val="2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561C6A">
        <w:rPr>
          <w:sz w:val="28"/>
          <w:szCs w:val="28"/>
        </w:rPr>
        <w:t>Specielle finansieringsin</w:t>
      </w:r>
      <w:r>
        <w:rPr>
          <w:sz w:val="28"/>
          <w:szCs w:val="28"/>
        </w:rPr>
        <w:t>stitutter m.v.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Staten udsteder obligationer for at få penge i statskassen.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Realkreditinstitutter udsteder obligationer for at skaffe likvide midler til finansiering af fast ejendom i Danmark.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De mere specielle finansieringsinstitutter udsteder obligationer for at skaffe likvide midler til finansiering af erhvervsinvesteringer. Det drejer sig f.eks. om investeringer i skibe og produktionsanlæg o.l. Visse erhvervsvirksomheder udsteder selv obligati</w:t>
      </w:r>
      <w:r>
        <w:rPr>
          <w:sz w:val="28"/>
          <w:szCs w:val="28"/>
        </w:rPr>
        <w:t>o</w:t>
      </w:r>
      <w:r>
        <w:rPr>
          <w:sz w:val="28"/>
          <w:szCs w:val="28"/>
        </w:rPr>
        <w:t>ner for at finansiere forskellige investeringer i virksomheden.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Obligationslån, der afvikles som et </w:t>
      </w:r>
      <w:r w:rsidRPr="00561C6A">
        <w:rPr>
          <w:i/>
          <w:sz w:val="28"/>
          <w:szCs w:val="28"/>
        </w:rPr>
        <w:t>annuitetslån</w:t>
      </w:r>
      <w:r w:rsidRPr="00561C6A">
        <w:rPr>
          <w:sz w:val="28"/>
          <w:szCs w:val="28"/>
        </w:rPr>
        <w:t>: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561C6A">
        <w:rPr>
          <w:sz w:val="28"/>
          <w:szCs w:val="28"/>
        </w:rPr>
        <w:t>Ved et annuitetslån betaler låntager lige store ydelser hver termin. Da restgælden l</w:t>
      </w:r>
      <w:r w:rsidRPr="00561C6A">
        <w:rPr>
          <w:sz w:val="28"/>
          <w:szCs w:val="28"/>
        </w:rPr>
        <w:t>ø</w:t>
      </w:r>
      <w:r w:rsidRPr="00561C6A">
        <w:rPr>
          <w:sz w:val="28"/>
          <w:szCs w:val="28"/>
        </w:rPr>
        <w:t>bende nedbringes</w:t>
      </w:r>
      <w:r>
        <w:rPr>
          <w:sz w:val="28"/>
          <w:szCs w:val="28"/>
        </w:rPr>
        <w:t>,</w:t>
      </w:r>
      <w:r w:rsidRPr="00561C6A">
        <w:rPr>
          <w:sz w:val="28"/>
          <w:szCs w:val="28"/>
        </w:rPr>
        <w:t xml:space="preserve"> og da renterne beregnes af restgælden</w:t>
      </w:r>
      <w:r>
        <w:rPr>
          <w:sz w:val="28"/>
          <w:szCs w:val="28"/>
        </w:rPr>
        <w:t xml:space="preserve">, vil terminsydelsens </w:t>
      </w:r>
      <w:r w:rsidRPr="00561C6A">
        <w:rPr>
          <w:sz w:val="28"/>
          <w:szCs w:val="28"/>
        </w:rPr>
        <w:t xml:space="preserve">rentedel </w:t>
      </w:r>
      <w:proofErr w:type="gramStart"/>
      <w:r w:rsidRPr="00561C6A">
        <w:rPr>
          <w:sz w:val="28"/>
          <w:szCs w:val="28"/>
        </w:rPr>
        <w:t>bliver</w:t>
      </w:r>
      <w:proofErr w:type="gramEnd"/>
      <w:r w:rsidRPr="00561C6A">
        <w:rPr>
          <w:sz w:val="28"/>
          <w:szCs w:val="28"/>
        </w:rPr>
        <w:t xml:space="preserve"> mindre</w:t>
      </w:r>
      <w:r>
        <w:rPr>
          <w:sz w:val="28"/>
          <w:szCs w:val="28"/>
        </w:rPr>
        <w:t xml:space="preserve"> og mindre samtidig med, at terminsydelsens afdragsd</w:t>
      </w:r>
      <w:r w:rsidRPr="00561C6A">
        <w:rPr>
          <w:sz w:val="28"/>
          <w:szCs w:val="28"/>
        </w:rPr>
        <w:t xml:space="preserve">el </w:t>
      </w:r>
      <w:r>
        <w:rPr>
          <w:sz w:val="28"/>
          <w:szCs w:val="28"/>
        </w:rPr>
        <w:t>dermed vil bl</w:t>
      </w:r>
      <w:r>
        <w:rPr>
          <w:sz w:val="28"/>
          <w:szCs w:val="28"/>
        </w:rPr>
        <w:t>i</w:t>
      </w:r>
      <w:r>
        <w:rPr>
          <w:sz w:val="28"/>
          <w:szCs w:val="28"/>
        </w:rPr>
        <w:t>ve</w:t>
      </w:r>
      <w:r w:rsidRPr="00561C6A">
        <w:rPr>
          <w:sz w:val="28"/>
          <w:szCs w:val="28"/>
        </w:rPr>
        <w:t xml:space="preserve"> større</w:t>
      </w:r>
      <w:r>
        <w:rPr>
          <w:sz w:val="28"/>
          <w:szCs w:val="28"/>
        </w:rPr>
        <w:t xml:space="preserve"> og større fra termin til termin.</w:t>
      </w:r>
    </w:p>
    <w:p w:rsidR="00987CC4" w:rsidRPr="00561C6A" w:rsidRDefault="00987CC4" w:rsidP="00987CC4">
      <w:pPr>
        <w:ind w:left="720"/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561C6A">
        <w:rPr>
          <w:i/>
          <w:sz w:val="28"/>
          <w:szCs w:val="28"/>
        </w:rPr>
        <w:t>Obligation</w:t>
      </w:r>
      <w:r>
        <w:rPr>
          <w:i/>
          <w:sz w:val="28"/>
          <w:szCs w:val="28"/>
        </w:rPr>
        <w:t xml:space="preserve">slån, der afvikles som et </w:t>
      </w:r>
      <w:r w:rsidRPr="00561C6A">
        <w:rPr>
          <w:i/>
          <w:sz w:val="28"/>
          <w:szCs w:val="28"/>
        </w:rPr>
        <w:t>stående lån</w:t>
      </w:r>
      <w:r w:rsidRPr="00561C6A">
        <w:rPr>
          <w:sz w:val="28"/>
          <w:szCs w:val="28"/>
        </w:rPr>
        <w:t>: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 et stående lån afdrager låntager hele gælden i forbindelse med </w:t>
      </w:r>
      <w:r w:rsidRPr="00561C6A">
        <w:rPr>
          <w:sz w:val="28"/>
          <w:szCs w:val="28"/>
        </w:rPr>
        <w:t>betaling</w:t>
      </w:r>
      <w:r>
        <w:rPr>
          <w:sz w:val="28"/>
          <w:szCs w:val="28"/>
        </w:rPr>
        <w:t>en</w:t>
      </w:r>
      <w:r w:rsidRPr="00561C6A">
        <w:rPr>
          <w:sz w:val="28"/>
          <w:szCs w:val="28"/>
        </w:rPr>
        <w:t xml:space="preserve"> af den sidste terminsydelse. Ved de forudgående terminer betales der kun renter.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561C6A">
        <w:rPr>
          <w:i/>
          <w:sz w:val="28"/>
          <w:szCs w:val="28"/>
        </w:rPr>
        <w:lastRenderedPageBreak/>
        <w:t>Obligation</w:t>
      </w:r>
      <w:r>
        <w:rPr>
          <w:i/>
          <w:sz w:val="28"/>
          <w:szCs w:val="28"/>
        </w:rPr>
        <w:t xml:space="preserve">slån, der afvikles som et </w:t>
      </w:r>
      <w:r w:rsidRPr="00561C6A">
        <w:rPr>
          <w:i/>
          <w:sz w:val="28"/>
          <w:szCs w:val="28"/>
        </w:rPr>
        <w:t>serielån</w:t>
      </w:r>
      <w:r w:rsidRPr="00561C6A">
        <w:rPr>
          <w:sz w:val="28"/>
          <w:szCs w:val="28"/>
        </w:rPr>
        <w:t>: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561C6A">
        <w:rPr>
          <w:sz w:val="28"/>
          <w:szCs w:val="28"/>
        </w:rPr>
        <w:t xml:space="preserve">Ved et serielån betales </w:t>
      </w:r>
      <w:r>
        <w:rPr>
          <w:sz w:val="28"/>
          <w:szCs w:val="28"/>
        </w:rPr>
        <w:t xml:space="preserve">der </w:t>
      </w:r>
      <w:r w:rsidRPr="00561C6A">
        <w:rPr>
          <w:sz w:val="28"/>
          <w:szCs w:val="28"/>
        </w:rPr>
        <w:t xml:space="preserve">et konstant afdrag </w:t>
      </w:r>
      <w:r>
        <w:rPr>
          <w:sz w:val="28"/>
          <w:szCs w:val="28"/>
        </w:rPr>
        <w:t xml:space="preserve">ved </w:t>
      </w:r>
      <w:r w:rsidRPr="00561C6A">
        <w:rPr>
          <w:sz w:val="28"/>
          <w:szCs w:val="28"/>
        </w:rPr>
        <w:t>hver termin. Da restgælden ne</w:t>
      </w:r>
      <w:r w:rsidRPr="00561C6A">
        <w:rPr>
          <w:sz w:val="28"/>
          <w:szCs w:val="28"/>
        </w:rPr>
        <w:t>d</w:t>
      </w:r>
      <w:r w:rsidRPr="00561C6A">
        <w:rPr>
          <w:sz w:val="28"/>
          <w:szCs w:val="28"/>
        </w:rPr>
        <w:t xml:space="preserve">bringes med </w:t>
      </w:r>
      <w:r>
        <w:rPr>
          <w:sz w:val="28"/>
          <w:szCs w:val="28"/>
        </w:rPr>
        <w:t xml:space="preserve">et fast </w:t>
      </w:r>
      <w:r w:rsidRPr="00561C6A">
        <w:rPr>
          <w:sz w:val="28"/>
          <w:szCs w:val="28"/>
        </w:rPr>
        <w:t>afdrag</w:t>
      </w:r>
      <w:r>
        <w:rPr>
          <w:sz w:val="28"/>
          <w:szCs w:val="28"/>
        </w:rPr>
        <w:t xml:space="preserve"> hver termin</w:t>
      </w:r>
      <w:r w:rsidRPr="00561C6A">
        <w:rPr>
          <w:sz w:val="28"/>
          <w:szCs w:val="28"/>
        </w:rPr>
        <w:t>, vil</w:t>
      </w:r>
      <w:r>
        <w:rPr>
          <w:sz w:val="28"/>
          <w:szCs w:val="28"/>
        </w:rPr>
        <w:t xml:space="preserve"> </w:t>
      </w:r>
      <w:r w:rsidRPr="00561C6A">
        <w:rPr>
          <w:sz w:val="28"/>
          <w:szCs w:val="28"/>
        </w:rPr>
        <w:t>rente</w:t>
      </w:r>
      <w:r>
        <w:rPr>
          <w:sz w:val="28"/>
          <w:szCs w:val="28"/>
        </w:rPr>
        <w:t xml:space="preserve">n </w:t>
      </w:r>
      <w:r w:rsidRPr="00561C6A">
        <w:rPr>
          <w:sz w:val="28"/>
          <w:szCs w:val="28"/>
        </w:rPr>
        <w:t xml:space="preserve">blive mindre </w:t>
      </w:r>
      <w:r>
        <w:rPr>
          <w:sz w:val="28"/>
          <w:szCs w:val="28"/>
        </w:rPr>
        <w:t xml:space="preserve">og mindre fra termin til termin.. Den </w:t>
      </w:r>
      <w:r w:rsidRPr="00561C6A">
        <w:rPr>
          <w:sz w:val="28"/>
          <w:szCs w:val="28"/>
        </w:rPr>
        <w:t xml:space="preserve">samlede terminsydelse </w:t>
      </w:r>
      <w:r>
        <w:rPr>
          <w:sz w:val="28"/>
          <w:szCs w:val="28"/>
        </w:rPr>
        <w:t xml:space="preserve">vil dermed ligeledes </w:t>
      </w:r>
      <w:r w:rsidRPr="00561C6A">
        <w:rPr>
          <w:sz w:val="28"/>
          <w:szCs w:val="28"/>
        </w:rPr>
        <w:t>blive mindre fra termin til termin.</w:t>
      </w:r>
    </w:p>
    <w:p w:rsidR="00987CC4" w:rsidRPr="00561C6A" w:rsidRDefault="00987CC4" w:rsidP="00987CC4">
      <w:pPr>
        <w:ind w:left="720"/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Obligationslån, der er </w:t>
      </w:r>
      <w:r w:rsidRPr="00561C6A">
        <w:rPr>
          <w:i/>
          <w:sz w:val="28"/>
          <w:szCs w:val="28"/>
        </w:rPr>
        <w:t>baseret på variabelt forrentede obligationer</w:t>
      </w:r>
      <w:r w:rsidRPr="00561C6A">
        <w:rPr>
          <w:sz w:val="28"/>
          <w:szCs w:val="28"/>
        </w:rPr>
        <w:t>: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561C6A">
        <w:rPr>
          <w:sz w:val="28"/>
          <w:szCs w:val="28"/>
        </w:rPr>
        <w:t>Ved disse obligationer fastsættes r</w:t>
      </w:r>
      <w:r>
        <w:rPr>
          <w:sz w:val="28"/>
          <w:szCs w:val="28"/>
        </w:rPr>
        <w:t>enten efter nærmere retningslinj</w:t>
      </w:r>
      <w:r w:rsidRPr="00561C6A">
        <w:rPr>
          <w:sz w:val="28"/>
          <w:szCs w:val="28"/>
        </w:rPr>
        <w:t>er fra termin til termin.</w:t>
      </w:r>
    </w:p>
    <w:p w:rsidR="00987CC4" w:rsidRPr="00561C6A" w:rsidRDefault="00987CC4" w:rsidP="00987CC4">
      <w:pPr>
        <w:ind w:left="720"/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561C6A">
        <w:rPr>
          <w:sz w:val="28"/>
          <w:szCs w:val="28"/>
        </w:rPr>
        <w:t xml:space="preserve">Andre obligationslån </w:t>
      </w:r>
      <w:r>
        <w:rPr>
          <w:sz w:val="28"/>
          <w:szCs w:val="28"/>
        </w:rPr>
        <w:t xml:space="preserve">omfatter </w:t>
      </w:r>
      <w:r w:rsidRPr="00561C6A">
        <w:rPr>
          <w:sz w:val="28"/>
          <w:szCs w:val="28"/>
        </w:rPr>
        <w:t>f.eks. præmieobligationer og indeksobligationer</w:t>
      </w:r>
      <w:r>
        <w:rPr>
          <w:sz w:val="28"/>
          <w:szCs w:val="28"/>
        </w:rPr>
        <w:t>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A25D33">
        <w:rPr>
          <w:i/>
          <w:sz w:val="28"/>
          <w:szCs w:val="28"/>
        </w:rPr>
        <w:t>Den nominelle rente</w:t>
      </w:r>
      <w:r w:rsidRPr="00561C6A">
        <w:rPr>
          <w:sz w:val="28"/>
          <w:szCs w:val="28"/>
        </w:rPr>
        <w:t>: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Den nominelle rente e</w:t>
      </w:r>
      <w:r w:rsidRPr="00561C6A">
        <w:rPr>
          <w:sz w:val="28"/>
          <w:szCs w:val="28"/>
        </w:rPr>
        <w:t xml:space="preserve">r den rente, som obligationen </w:t>
      </w:r>
      <w:r>
        <w:rPr>
          <w:sz w:val="28"/>
          <w:szCs w:val="28"/>
        </w:rPr>
        <w:t xml:space="preserve">i henhold til den indgåede aftale </w:t>
      </w:r>
      <w:r w:rsidRPr="00561C6A">
        <w:rPr>
          <w:sz w:val="28"/>
          <w:szCs w:val="28"/>
        </w:rPr>
        <w:t xml:space="preserve">skal forrentes med hver termin. </w:t>
      </w:r>
      <w:r>
        <w:rPr>
          <w:sz w:val="28"/>
          <w:szCs w:val="28"/>
        </w:rPr>
        <w:t>Den nominelle rente k</w:t>
      </w:r>
      <w:r w:rsidRPr="00561C6A">
        <w:rPr>
          <w:sz w:val="28"/>
          <w:szCs w:val="28"/>
        </w:rPr>
        <w:t>aldes også den pålydende rente.</w:t>
      </w:r>
    </w:p>
    <w:p w:rsidR="00987CC4" w:rsidRPr="00561C6A" w:rsidRDefault="00987CC4" w:rsidP="00987CC4">
      <w:pPr>
        <w:ind w:left="360" w:firstLine="360"/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A25D33">
        <w:rPr>
          <w:i/>
          <w:sz w:val="28"/>
          <w:szCs w:val="28"/>
        </w:rPr>
        <w:t>Den direkte rente</w:t>
      </w:r>
      <w:r w:rsidRPr="00561C6A">
        <w:rPr>
          <w:sz w:val="28"/>
          <w:szCs w:val="28"/>
        </w:rPr>
        <w:t>: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 direkte rente er </w:t>
      </w:r>
      <w:r w:rsidRPr="00561C6A">
        <w:rPr>
          <w:sz w:val="28"/>
          <w:szCs w:val="28"/>
        </w:rPr>
        <w:t>den rente</w:t>
      </w:r>
      <w:r>
        <w:rPr>
          <w:sz w:val="28"/>
          <w:szCs w:val="28"/>
        </w:rPr>
        <w:t>, som fremkommer, når man ud over obligationens n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minelle rente </w:t>
      </w:r>
      <w:r w:rsidRPr="00561C6A">
        <w:rPr>
          <w:sz w:val="28"/>
          <w:szCs w:val="28"/>
        </w:rPr>
        <w:t xml:space="preserve">tager hensyn </w:t>
      </w:r>
      <w:r>
        <w:rPr>
          <w:sz w:val="28"/>
          <w:szCs w:val="28"/>
        </w:rPr>
        <w:t xml:space="preserve">til </w:t>
      </w:r>
      <w:r w:rsidRPr="00561C6A">
        <w:rPr>
          <w:sz w:val="28"/>
          <w:szCs w:val="28"/>
        </w:rPr>
        <w:t xml:space="preserve">kursen på </w:t>
      </w:r>
      <w:r>
        <w:rPr>
          <w:sz w:val="28"/>
          <w:szCs w:val="28"/>
        </w:rPr>
        <w:t xml:space="preserve">den pågældende </w:t>
      </w:r>
      <w:r w:rsidRPr="00561C6A">
        <w:rPr>
          <w:sz w:val="28"/>
          <w:szCs w:val="28"/>
        </w:rPr>
        <w:t>obligatio</w:t>
      </w:r>
      <w:r>
        <w:rPr>
          <w:sz w:val="28"/>
          <w:szCs w:val="28"/>
        </w:rPr>
        <w:t>n.</w:t>
      </w:r>
    </w:p>
    <w:p w:rsidR="00987CC4" w:rsidRPr="00561C6A" w:rsidRDefault="00987CC4" w:rsidP="00987CC4">
      <w:pPr>
        <w:ind w:left="360" w:firstLine="360"/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 w:rsidRPr="00A25D33">
        <w:rPr>
          <w:i/>
          <w:sz w:val="28"/>
          <w:szCs w:val="28"/>
        </w:rPr>
        <w:t>Den effektive rente</w:t>
      </w:r>
      <w:r w:rsidRPr="00561C6A">
        <w:rPr>
          <w:sz w:val="28"/>
          <w:szCs w:val="28"/>
        </w:rPr>
        <w:t>: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Den effektive rente er de</w:t>
      </w:r>
      <w:r w:rsidRPr="00561C6A">
        <w:rPr>
          <w:sz w:val="28"/>
          <w:szCs w:val="28"/>
        </w:rPr>
        <w:t>n rente</w:t>
      </w:r>
      <w:r>
        <w:rPr>
          <w:sz w:val="28"/>
          <w:szCs w:val="28"/>
        </w:rPr>
        <w:t xml:space="preserve">, som fremkommer, når man ud over obligationens </w:t>
      </w:r>
      <w:r w:rsidRPr="00561C6A">
        <w:rPr>
          <w:sz w:val="28"/>
          <w:szCs w:val="28"/>
        </w:rPr>
        <w:t>nominelle rente</w:t>
      </w:r>
      <w:r>
        <w:rPr>
          <w:sz w:val="28"/>
          <w:szCs w:val="28"/>
        </w:rPr>
        <w:t xml:space="preserve"> og </w:t>
      </w:r>
      <w:r w:rsidRPr="00561C6A">
        <w:rPr>
          <w:sz w:val="28"/>
          <w:szCs w:val="28"/>
        </w:rPr>
        <w:t>kurs</w:t>
      </w:r>
      <w:r>
        <w:rPr>
          <w:sz w:val="28"/>
          <w:szCs w:val="28"/>
        </w:rPr>
        <w:t xml:space="preserve"> tager hensyn til obligationens udtrækningschanc</w:t>
      </w:r>
      <w:r w:rsidRPr="00561C6A">
        <w:rPr>
          <w:sz w:val="28"/>
          <w:szCs w:val="28"/>
        </w:rPr>
        <w:t>e</w:t>
      </w:r>
      <w:r>
        <w:rPr>
          <w:sz w:val="28"/>
          <w:szCs w:val="28"/>
        </w:rPr>
        <w:t xml:space="preserve"> eller u</w:t>
      </w:r>
      <w:r>
        <w:rPr>
          <w:sz w:val="28"/>
          <w:szCs w:val="28"/>
        </w:rPr>
        <w:t>d</w:t>
      </w:r>
      <w:r>
        <w:rPr>
          <w:sz w:val="28"/>
          <w:szCs w:val="28"/>
        </w:rPr>
        <w:t>træknings</w:t>
      </w:r>
      <w:r w:rsidRPr="00561C6A">
        <w:rPr>
          <w:sz w:val="28"/>
          <w:szCs w:val="28"/>
        </w:rPr>
        <w:t>risiko.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CC4" w:rsidRDefault="00987CC4" w:rsidP="00987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4.2</w:t>
      </w:r>
    </w:p>
    <w:p w:rsidR="00987CC4" w:rsidRDefault="00987CC4" w:rsidP="00987CC4">
      <w:pPr>
        <w:jc w:val="both"/>
        <w:rPr>
          <w:b/>
          <w:sz w:val="28"/>
          <w:szCs w:val="28"/>
        </w:rPr>
      </w:pPr>
    </w:p>
    <w:p w:rsidR="00987CC4" w:rsidRPr="00E953A3" w:rsidRDefault="00987CC4" w:rsidP="00987CC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411"/>
      </w:tblGrid>
      <w:tr w:rsidR="00987CC4" w:rsidRPr="001062F6" w:rsidTr="000F3075">
        <w:tc>
          <w:tcPr>
            <w:tcW w:w="6948" w:type="dxa"/>
            <w:gridSpan w:val="2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Udsagn</w:t>
            </w:r>
          </w:p>
        </w:tc>
        <w:tc>
          <w:tcPr>
            <w:tcW w:w="1440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Rigtigt</w:t>
            </w:r>
          </w:p>
        </w:tc>
        <w:tc>
          <w:tcPr>
            <w:tcW w:w="1411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Forkert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En obligation er en ejerandel til et realkreditinstitut, f.eks. T</w:t>
            </w:r>
            <w:r w:rsidRPr="00130E6F">
              <w:t>o</w:t>
            </w:r>
            <w:r w:rsidRPr="00130E6F">
              <w:t>talkredit.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 xml:space="preserve">2. 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En obligation foreligger i form af en elektronisk registrering i Værdipapircentralen.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3.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Staten vælger ofte at udstede obligationer for at finansiere et eventuelt underskud på statens finanser.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4.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Der er ingen risiko forbundet med at investere penge i oblig</w:t>
            </w:r>
            <w:r w:rsidRPr="00130E6F">
              <w:t>a</w:t>
            </w:r>
            <w:r w:rsidRPr="00130E6F">
              <w:t>tioner.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5.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Realkreditobligationer kan have en løbetid på op til 50 år.</w:t>
            </w:r>
            <w:r>
              <w:t xml:space="preserve">               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6.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Erhvervsvirksomheder, der er organiseret som et aktieselskab, må ikke udstede obligationer.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7.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En obligations nominelle rente kaldes også obligationens pål</w:t>
            </w:r>
            <w:r w:rsidRPr="00130E6F">
              <w:t>y</w:t>
            </w:r>
            <w:r w:rsidRPr="00130E6F">
              <w:t>dende rente.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8.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Obligationer må ved udstedelsen ikke sælges til en kurs, der overstiger 100.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9.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En obligations løbetid og restløbetid er altid den samme.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10.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Realkreditobligationer indfries som regel ved udtrækning.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11.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En obligationsejer ser frem til at få sin obligation udtrukket, hvis obligationskursen er mindre end 100. Man taler i så fald om, at der foreligger en udtrækningschance.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12.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Man taler om, at der foreligger en udtrækningsrisiko, hvis o</w:t>
            </w:r>
            <w:r w:rsidRPr="00130E6F">
              <w:t>b</w:t>
            </w:r>
            <w:r w:rsidRPr="00130E6F">
              <w:t>ligationskursen overstiger 100.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13.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Et obligationslån, der afvikles som et stående lån, vil først bl</w:t>
            </w:r>
            <w:r w:rsidRPr="00130E6F">
              <w:t>i</w:t>
            </w:r>
            <w:r w:rsidRPr="00130E6F">
              <w:t>ve indfriet, når lånet udløber.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14.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Et obligationslån, som afvikles som et annuitetslån, er</w:t>
            </w:r>
            <w:r>
              <w:t xml:space="preserve"> dyrere i starten end et tilsvarende obligationslån, </w:t>
            </w:r>
            <w:r w:rsidRPr="00130E6F">
              <w:t>der afvikles som et fast lån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 w:rsidRPr="001062F6">
              <w:rPr>
                <w:rFonts w:cs="Arial"/>
              </w:rPr>
              <w:t>15.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Ved beregning af den direkte rente på en obligation tages der hensyn til obligationens nominelle rente samt den kurs, oblig</w:t>
            </w:r>
            <w:r w:rsidRPr="00130E6F">
              <w:t>a</w:t>
            </w:r>
            <w:r w:rsidRPr="00130E6F">
              <w:t>tionen er handlet til.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En obligations direkte rente vil altid være større end obligati</w:t>
            </w:r>
            <w:r w:rsidRPr="00130E6F">
              <w:t>o</w:t>
            </w:r>
            <w:r w:rsidRPr="00130E6F">
              <w:t>nens nominelle rente.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Vedhængende renter er de renter, der forfalder til betaling ved hver rentetermin.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Ved beregning af den direkte rente på en obligation tages der hensyn til obligationens nominelle rente samt den kurs, oblig</w:t>
            </w:r>
            <w:r w:rsidRPr="00130E6F">
              <w:t>a</w:t>
            </w:r>
            <w:r w:rsidRPr="00130E6F">
              <w:t>tionen er handlet til.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Ved beregning af en obligations effektive rente tages der højde for, at obligationen på et tidspunkt bliver udtrukket til kurs 100.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6300" w:type="dxa"/>
          </w:tcPr>
          <w:p w:rsidR="00987CC4" w:rsidRPr="00FF2EBA" w:rsidRDefault="00987CC4" w:rsidP="000F3075">
            <w:pPr>
              <w:spacing w:before="100" w:beforeAutospacing="1" w:after="100" w:afterAutospacing="1"/>
            </w:pPr>
            <w:r w:rsidRPr="00130E6F">
              <w:t>Den direkte rente på en obligation beregnes som den nominelle rente ganget med 100 og divideret med obligationskursen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</w:tc>
        <w:tc>
          <w:tcPr>
            <w:tcW w:w="6300" w:type="dxa"/>
          </w:tcPr>
          <w:p w:rsidR="00987CC4" w:rsidRPr="00130E6F" w:rsidRDefault="00987CC4" w:rsidP="000F3075">
            <w:pPr>
              <w:spacing w:before="100" w:beforeAutospacing="1" w:after="100" w:afterAutospacing="1"/>
            </w:pPr>
            <w:r w:rsidRPr="00130E6F">
              <w:t xml:space="preserve">Den effektive rente på en obligation vil altid være større end </w:t>
            </w:r>
            <w:r w:rsidRPr="00130E6F">
              <w:lastRenderedPageBreak/>
              <w:t xml:space="preserve">både obligationens direkte og nominelle rente. 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7CC4" w:rsidRPr="001062F6" w:rsidTr="000F3075">
        <w:tc>
          <w:tcPr>
            <w:tcW w:w="648" w:type="dxa"/>
            <w:shd w:val="clear" w:color="auto" w:fill="D9D9D9"/>
          </w:tcPr>
          <w:p w:rsidR="00987CC4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22.</w:t>
            </w:r>
          </w:p>
        </w:tc>
        <w:tc>
          <w:tcPr>
            <w:tcW w:w="6300" w:type="dxa"/>
          </w:tcPr>
          <w:p w:rsidR="00987CC4" w:rsidRPr="00130E6F" w:rsidRDefault="00987CC4" w:rsidP="000F3075">
            <w:pPr>
              <w:spacing w:before="100" w:beforeAutospacing="1" w:after="100" w:afterAutospacing="1"/>
            </w:pPr>
            <w:r w:rsidRPr="00130E6F">
              <w:t>En obligations effektive rente opgøres som obligationens d</w:t>
            </w:r>
            <w:r w:rsidRPr="00130E6F">
              <w:t>i</w:t>
            </w:r>
            <w:r w:rsidRPr="00130E6F">
              <w:t>rekte rente korrigeret for obligationens udtrækningschance eller obligationens udtrækningsrisiko.</w:t>
            </w:r>
          </w:p>
        </w:tc>
        <w:tc>
          <w:tcPr>
            <w:tcW w:w="1440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1" w:type="dxa"/>
          </w:tcPr>
          <w:p w:rsidR="00987CC4" w:rsidRPr="001062F6" w:rsidRDefault="00987CC4" w:rsidP="000F3075">
            <w:pPr>
              <w:jc w:val="center"/>
              <w:rPr>
                <w:rFonts w:cs="Arial"/>
              </w:rPr>
            </w:pPr>
          </w:p>
        </w:tc>
      </w:tr>
    </w:tbl>
    <w:p w:rsidR="00987CC4" w:rsidRDefault="00987CC4" w:rsidP="00987CC4">
      <w:pPr>
        <w:jc w:val="both"/>
        <w:rPr>
          <w:b/>
          <w:sz w:val="28"/>
          <w:szCs w:val="28"/>
        </w:rPr>
      </w:pPr>
    </w:p>
    <w:p w:rsidR="00987CC4" w:rsidRDefault="00987CC4" w:rsidP="00987CC4">
      <w:pPr>
        <w:jc w:val="both"/>
        <w:rPr>
          <w:b/>
          <w:sz w:val="28"/>
          <w:szCs w:val="28"/>
        </w:rPr>
      </w:pPr>
    </w:p>
    <w:p w:rsidR="00987CC4" w:rsidRDefault="00987CC4" w:rsidP="00987CC4">
      <w:pPr>
        <w:jc w:val="both"/>
        <w:rPr>
          <w:b/>
          <w:sz w:val="28"/>
          <w:szCs w:val="28"/>
        </w:rPr>
      </w:pPr>
    </w:p>
    <w:p w:rsidR="00987CC4" w:rsidRPr="00561C6A" w:rsidRDefault="00987CC4" w:rsidP="00987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4</w:t>
      </w:r>
      <w:r w:rsidRPr="00561C6A">
        <w:rPr>
          <w:b/>
          <w:sz w:val="28"/>
          <w:szCs w:val="28"/>
        </w:rPr>
        <w:t>.3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er handlet </w:t>
      </w:r>
      <w:proofErr w:type="gramStart"/>
      <w:r>
        <w:rPr>
          <w:sz w:val="28"/>
          <w:szCs w:val="28"/>
        </w:rPr>
        <w:t>3%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Scandi</w:t>
      </w:r>
      <w:proofErr w:type="spellEnd"/>
      <w:r>
        <w:rPr>
          <w:sz w:val="28"/>
          <w:szCs w:val="28"/>
        </w:rPr>
        <w:t xml:space="preserve"> II </w:t>
      </w:r>
      <w:r w:rsidRPr="00541DBA">
        <w:t>JUNIOR</w:t>
      </w:r>
      <w:r>
        <w:rPr>
          <w:sz w:val="28"/>
          <w:szCs w:val="28"/>
        </w:rPr>
        <w:t xml:space="preserve"> 2012, og obligationerne er handlet til kurs 93,25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Obligationsh</w:t>
      </w:r>
      <w:r w:rsidRPr="00561C6A">
        <w:rPr>
          <w:sz w:val="28"/>
          <w:szCs w:val="28"/>
        </w:rPr>
        <w:t>and</w:t>
      </w:r>
      <w:r>
        <w:rPr>
          <w:sz w:val="28"/>
          <w:szCs w:val="28"/>
        </w:rPr>
        <w:t>e</w:t>
      </w:r>
      <w:r w:rsidRPr="00561C6A">
        <w:rPr>
          <w:sz w:val="28"/>
          <w:szCs w:val="28"/>
        </w:rPr>
        <w:t xml:space="preserve">len </w:t>
      </w:r>
      <w:r>
        <w:rPr>
          <w:sz w:val="28"/>
          <w:szCs w:val="28"/>
        </w:rPr>
        <w:t>er effektueret</w:t>
      </w:r>
      <w:r w:rsidRPr="00561C6A">
        <w:rPr>
          <w:sz w:val="28"/>
          <w:szCs w:val="28"/>
        </w:rPr>
        <w:t xml:space="preserve"> den 30. december 2004.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Obligationernes nominelle rente er</w:t>
      </w:r>
      <w:r w:rsidRPr="00561C6A">
        <w:rPr>
          <w:sz w:val="28"/>
          <w:szCs w:val="28"/>
        </w:rPr>
        <w:t xml:space="preserve"> </w:t>
      </w:r>
      <w:proofErr w:type="gramStart"/>
      <w:r w:rsidRPr="00561C6A">
        <w:rPr>
          <w:sz w:val="28"/>
          <w:szCs w:val="28"/>
        </w:rPr>
        <w:t>3%</w:t>
      </w:r>
      <w:proofErr w:type="gramEnd"/>
      <w:r w:rsidRPr="00561C6A">
        <w:rPr>
          <w:sz w:val="28"/>
          <w:szCs w:val="28"/>
        </w:rPr>
        <w:t>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Obligationerne har renteter</w:t>
      </w:r>
      <w:r w:rsidRPr="00561C6A">
        <w:rPr>
          <w:sz w:val="28"/>
          <w:szCs w:val="28"/>
        </w:rPr>
        <w:t xml:space="preserve">min </w:t>
      </w:r>
      <w:r>
        <w:rPr>
          <w:sz w:val="28"/>
          <w:szCs w:val="28"/>
        </w:rPr>
        <w:t xml:space="preserve">den </w:t>
      </w:r>
      <w:r w:rsidRPr="00561C6A">
        <w:rPr>
          <w:sz w:val="28"/>
          <w:szCs w:val="28"/>
        </w:rPr>
        <w:t>1. november.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</w:p>
    <w:p w:rsidR="00987CC4" w:rsidRDefault="00987CC4" w:rsidP="00987CC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3%</w:t>
      </w:r>
      <w:proofErr w:type="gramEnd"/>
      <w:r>
        <w:rPr>
          <w:sz w:val="28"/>
          <w:szCs w:val="28"/>
        </w:rPr>
        <w:t xml:space="preserve"> · 100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 direkte </w:t>
      </w:r>
      <w:proofErr w:type="gramStart"/>
      <w:r>
        <w:rPr>
          <w:sz w:val="28"/>
          <w:szCs w:val="28"/>
        </w:rPr>
        <w:t>rente  =</w:t>
      </w:r>
      <w:proofErr w:type="gramEnd"/>
      <w:r>
        <w:rPr>
          <w:sz w:val="28"/>
          <w:szCs w:val="28"/>
        </w:rPr>
        <w:t xml:space="preserve">  -----------  =  3,22%</w:t>
      </w:r>
    </w:p>
    <w:p w:rsidR="00987CC4" w:rsidRDefault="00987CC4" w:rsidP="00987CC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93,25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De samlede handelsomkostninger, der omfatter kurtage og ekspeditionsgebyr, udgør kr. 603,61.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G.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De vedhængende renter udgør kr. 2.023,31.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H.</w:t>
      </w:r>
    </w:p>
    <w:p w:rsidR="00987CC4" w:rsidRPr="00561C6A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Køber </w:t>
      </w:r>
      <w:r w:rsidRPr="00561C6A">
        <w:rPr>
          <w:sz w:val="28"/>
          <w:szCs w:val="28"/>
        </w:rPr>
        <w:t>betale</w:t>
      </w:r>
      <w:r>
        <w:rPr>
          <w:sz w:val="28"/>
          <w:szCs w:val="28"/>
        </w:rPr>
        <w:t>r</w:t>
      </w:r>
      <w:r w:rsidRPr="00561C6A">
        <w:rPr>
          <w:sz w:val="28"/>
          <w:szCs w:val="28"/>
        </w:rPr>
        <w:t xml:space="preserve"> handelsrenter</w:t>
      </w:r>
      <w:r>
        <w:rPr>
          <w:sz w:val="28"/>
          <w:szCs w:val="28"/>
        </w:rPr>
        <w:t xml:space="preserve"> (vedhængende renter)</w:t>
      </w:r>
      <w:r w:rsidRPr="00561C6A">
        <w:rPr>
          <w:sz w:val="28"/>
          <w:szCs w:val="28"/>
        </w:rPr>
        <w:t xml:space="preserve"> for 59 dage, da obligationskøber den 1. november 2005 </w:t>
      </w:r>
      <w:r>
        <w:rPr>
          <w:sz w:val="28"/>
          <w:szCs w:val="28"/>
        </w:rPr>
        <w:t xml:space="preserve">vil </w:t>
      </w:r>
      <w:r w:rsidRPr="00561C6A">
        <w:rPr>
          <w:sz w:val="28"/>
          <w:szCs w:val="28"/>
        </w:rPr>
        <w:t xml:space="preserve">modtage rente for </w:t>
      </w:r>
      <w:r>
        <w:rPr>
          <w:sz w:val="28"/>
          <w:szCs w:val="28"/>
        </w:rPr>
        <w:t xml:space="preserve">hele det forudgående </w:t>
      </w:r>
      <w:r w:rsidRPr="00561C6A">
        <w:rPr>
          <w:sz w:val="28"/>
          <w:szCs w:val="28"/>
        </w:rPr>
        <w:t xml:space="preserve">år. Da den tidligere ejer af obligationerne har </w:t>
      </w:r>
      <w:r>
        <w:rPr>
          <w:sz w:val="28"/>
          <w:szCs w:val="28"/>
        </w:rPr>
        <w:t>ejet disse</w:t>
      </w:r>
      <w:r w:rsidRPr="00561C6A">
        <w:rPr>
          <w:sz w:val="28"/>
          <w:szCs w:val="28"/>
        </w:rPr>
        <w:t xml:space="preserve"> i 59 dage</w:t>
      </w:r>
      <w:r>
        <w:rPr>
          <w:sz w:val="28"/>
          <w:szCs w:val="28"/>
        </w:rPr>
        <w:t xml:space="preserve"> (1.11.2004 til 30.12.2004)</w:t>
      </w:r>
      <w:r w:rsidRPr="00561C6A">
        <w:rPr>
          <w:sz w:val="28"/>
          <w:szCs w:val="28"/>
        </w:rPr>
        <w:t>, har denne ret til en forholdsmæssig andel af renteindtægten.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CC4" w:rsidRPr="00D078F6" w:rsidRDefault="00987CC4" w:rsidP="00987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4</w:t>
      </w:r>
      <w:r w:rsidRPr="00D078F6">
        <w:rPr>
          <w:b/>
          <w:sz w:val="28"/>
          <w:szCs w:val="28"/>
        </w:rPr>
        <w:t>.4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Obligationernes nominelle </w:t>
      </w:r>
      <w:proofErr w:type="gramStart"/>
      <w:r>
        <w:rPr>
          <w:sz w:val="28"/>
          <w:szCs w:val="28"/>
        </w:rPr>
        <w:t>beløb  =</w:t>
      </w:r>
      <w:proofErr w:type="gramEnd"/>
      <w:r>
        <w:rPr>
          <w:sz w:val="28"/>
          <w:szCs w:val="28"/>
        </w:rPr>
        <w:t xml:space="preserve">  50 obligationer a kr. 100  =  kr. 5.000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Obligationernes </w:t>
      </w:r>
      <w:proofErr w:type="gramStart"/>
      <w:r>
        <w:rPr>
          <w:sz w:val="28"/>
          <w:szCs w:val="28"/>
        </w:rPr>
        <w:t>købspris  =</w:t>
      </w:r>
      <w:proofErr w:type="gramEnd"/>
      <w:r>
        <w:rPr>
          <w:sz w:val="28"/>
          <w:szCs w:val="28"/>
        </w:rPr>
        <w:t xml:space="preserve">  kr. </w:t>
      </w:r>
      <w:smartTag w:uri="urn:schemas-microsoft-com:office:smarttags" w:element="metricconverter">
        <w:smartTagPr>
          <w:attr w:name="ProductID" w:val="5.000 a"/>
        </w:smartTagPr>
        <w:r>
          <w:rPr>
            <w:sz w:val="28"/>
            <w:szCs w:val="28"/>
          </w:rPr>
          <w:t>5.000 a</w:t>
        </w:r>
      </w:smartTag>
      <w:r>
        <w:rPr>
          <w:sz w:val="28"/>
          <w:szCs w:val="28"/>
        </w:rPr>
        <w:t xml:space="preserve"> kurs 96  =  kr. 4.800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Årligt udtræk af obligationer  =  kr. 5.000 : 5 år  =  kr. 1.000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Renteindtægt på obligationerne år 1  =  5% af kr. 5.000  =  kr. 250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Renteindtægt på obligationerne år 2  =  5% af kr. 4.000  =  kr. 200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osv.</w:t>
      </w:r>
    </w:p>
    <w:p w:rsidR="00987CC4" w:rsidRDefault="00987CC4" w:rsidP="00987CC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629"/>
        <w:gridCol w:w="1630"/>
        <w:gridCol w:w="1781"/>
        <w:gridCol w:w="1630"/>
        <w:gridCol w:w="1790"/>
      </w:tblGrid>
      <w:tr w:rsidR="00987CC4" w:rsidRPr="008C3A88" w:rsidTr="000F30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År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Investering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Obligations-</w:t>
            </w: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beholdning</w:t>
            </w: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primo året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Årlig</w:t>
            </w: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rente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Årligt</w:t>
            </w: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udtræk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Netto-</w:t>
            </w: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betalings-</w:t>
            </w:r>
          </w:p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strøm</w:t>
            </w:r>
          </w:p>
        </w:tc>
      </w:tr>
      <w:tr w:rsidR="00987CC4" w:rsidRPr="008C3A88" w:rsidTr="000F3075"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– 4.800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612"/>
              <w:jc w:val="right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43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– 4.800</w:t>
            </w:r>
          </w:p>
        </w:tc>
      </w:tr>
      <w:tr w:rsidR="00987CC4" w:rsidRPr="008C3A88" w:rsidTr="000F3075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5.000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61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250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1.000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43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1.250</w:t>
            </w:r>
          </w:p>
        </w:tc>
      </w:tr>
      <w:tr w:rsidR="00987CC4" w:rsidRPr="008C3A88" w:rsidTr="000F3075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4.000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61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200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1.000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43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1.200</w:t>
            </w:r>
          </w:p>
        </w:tc>
      </w:tr>
      <w:tr w:rsidR="00987CC4" w:rsidRPr="008C3A88" w:rsidTr="000F3075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3.000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61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150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1.000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43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1.150</w:t>
            </w:r>
          </w:p>
        </w:tc>
      </w:tr>
      <w:tr w:rsidR="00987CC4" w:rsidRPr="008C3A88" w:rsidTr="000F3075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2.000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61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100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1.000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43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1.100</w:t>
            </w:r>
          </w:p>
        </w:tc>
      </w:tr>
      <w:tr w:rsidR="00987CC4" w:rsidRPr="008C3A88" w:rsidTr="000F3075"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1.000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61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50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jc w:val="center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1.000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8C3A88" w:rsidRDefault="00987CC4" w:rsidP="000F3075">
            <w:pPr>
              <w:ind w:right="432"/>
              <w:jc w:val="right"/>
              <w:rPr>
                <w:sz w:val="28"/>
                <w:szCs w:val="28"/>
              </w:rPr>
            </w:pPr>
            <w:r w:rsidRPr="008C3A88">
              <w:rPr>
                <w:sz w:val="28"/>
                <w:szCs w:val="28"/>
              </w:rPr>
              <w:t>1.050</w:t>
            </w:r>
          </w:p>
        </w:tc>
      </w:tr>
    </w:tbl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Pr="004B5A05" w:rsidRDefault="00987CC4" w:rsidP="00987CC4">
      <w:pPr>
        <w:rPr>
          <w:sz w:val="28"/>
          <w:szCs w:val="28"/>
        </w:rPr>
      </w:pPr>
      <w:r w:rsidRPr="004B5A05">
        <w:rPr>
          <w:i/>
          <w:sz w:val="28"/>
          <w:szCs w:val="28"/>
        </w:rPr>
        <w:t>Regneark</w:t>
      </w:r>
      <w:r w:rsidRPr="004B5A05">
        <w:rPr>
          <w:sz w:val="28"/>
          <w:szCs w:val="28"/>
        </w:rPr>
        <w:t>:</w:t>
      </w:r>
    </w:p>
    <w:p w:rsidR="00987CC4" w:rsidRDefault="00987CC4" w:rsidP="00987CC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418"/>
      </w:tblGrid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C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Osv.</w:t>
            </w: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2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484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4800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2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48499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2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2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2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2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72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  <w:tr w:rsidR="00987CC4" w:rsidRPr="00484994" w:rsidTr="000F3075">
        <w:tc>
          <w:tcPr>
            <w:tcW w:w="921" w:type="dxa"/>
          </w:tcPr>
          <w:p w:rsidR="00987CC4" w:rsidRPr="00484994" w:rsidRDefault="00987CC4" w:rsidP="000F3075">
            <w:pPr>
              <w:jc w:val="center"/>
              <w:rPr>
                <w:sz w:val="28"/>
                <w:szCs w:val="28"/>
              </w:rPr>
            </w:pPr>
            <w:r w:rsidRPr="00484994">
              <w:rPr>
                <w:sz w:val="28"/>
                <w:szCs w:val="28"/>
              </w:rPr>
              <w:t>osv.</w:t>
            </w: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72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7CC4" w:rsidRPr="00484994" w:rsidRDefault="00987CC4" w:rsidP="000F3075">
            <w:pPr>
              <w:ind w:right="174"/>
              <w:jc w:val="right"/>
              <w:rPr>
                <w:sz w:val="28"/>
                <w:szCs w:val="28"/>
              </w:rPr>
            </w:pPr>
          </w:p>
        </w:tc>
      </w:tr>
    </w:tbl>
    <w:p w:rsidR="00987CC4" w:rsidRPr="00484994" w:rsidRDefault="00987CC4" w:rsidP="00987CC4">
      <w:pPr>
        <w:rPr>
          <w:b/>
          <w:sz w:val="28"/>
          <w:szCs w:val="28"/>
        </w:rPr>
      </w:pPr>
    </w:p>
    <w:p w:rsidR="00987CC4" w:rsidRPr="00484994" w:rsidRDefault="00987CC4" w:rsidP="00987CC4">
      <w:pPr>
        <w:rPr>
          <w:sz w:val="28"/>
          <w:szCs w:val="28"/>
        </w:rPr>
      </w:pPr>
      <w:r w:rsidRPr="00484994">
        <w:rPr>
          <w:sz w:val="28"/>
          <w:szCs w:val="28"/>
        </w:rPr>
        <w:t>Re</w:t>
      </w:r>
      <w:r>
        <w:rPr>
          <w:sz w:val="28"/>
          <w:szCs w:val="28"/>
        </w:rPr>
        <w:t>gnearket viser, at obligationsinvesteringen under de givne forudsætninger vil give investor en effektiv rente på</w:t>
      </w:r>
      <w:r w:rsidRPr="00484994">
        <w:rPr>
          <w:sz w:val="28"/>
          <w:szCs w:val="28"/>
        </w:rPr>
        <w:t xml:space="preserve"> </w:t>
      </w:r>
      <w:r>
        <w:rPr>
          <w:sz w:val="28"/>
          <w:szCs w:val="28"/>
        </w:rPr>
        <w:t>6,5</w:t>
      </w:r>
      <w:r w:rsidRPr="00484994">
        <w:rPr>
          <w:sz w:val="28"/>
          <w:szCs w:val="28"/>
        </w:rPr>
        <w:t xml:space="preserve">% p.a. </w:t>
      </w:r>
    </w:p>
    <w:p w:rsidR="00987CC4" w:rsidRPr="00484994" w:rsidRDefault="00987CC4" w:rsidP="00987CC4">
      <w:pPr>
        <w:rPr>
          <w:b/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CC4" w:rsidRPr="00D078F6" w:rsidRDefault="00F1545C" w:rsidP="00987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4</w:t>
      </w:r>
      <w:r w:rsidR="00987CC4" w:rsidRPr="00D078F6">
        <w:rPr>
          <w:b/>
          <w:sz w:val="28"/>
          <w:szCs w:val="28"/>
        </w:rPr>
        <w:t>.5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Obligationernes nominelle rente udgør 4% p.a.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987CC4" w:rsidRDefault="00987CC4" w:rsidP="00987CC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4% · 100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Den direkte rente  =  -----------  =  4,5%</w:t>
      </w:r>
    </w:p>
    <w:p w:rsidR="00987CC4" w:rsidRDefault="00987CC4" w:rsidP="00987CC4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89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Obligationernes nominelle beløb  =  50 obligationer a kr. 100  =  kr. 5.000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Obligationernes købspris  =  kr. </w:t>
      </w:r>
      <w:smartTag w:uri="urn:schemas-microsoft-com:office:smarttags" w:element="metricconverter">
        <w:smartTagPr>
          <w:attr w:name="ProductID" w:val="5.000 a"/>
        </w:smartTagPr>
        <w:r>
          <w:rPr>
            <w:sz w:val="28"/>
            <w:szCs w:val="28"/>
          </w:rPr>
          <w:t>5.000 a</w:t>
        </w:r>
      </w:smartTag>
      <w:r>
        <w:rPr>
          <w:sz w:val="28"/>
          <w:szCs w:val="28"/>
        </w:rPr>
        <w:t xml:space="preserve"> kurs 89  =  kr. 4.450</w:t>
      </w:r>
    </w:p>
    <w:p w:rsidR="00987CC4" w:rsidRDefault="00987CC4" w:rsidP="00987CC4">
      <w:pPr>
        <w:jc w:val="both"/>
        <w:rPr>
          <w:sz w:val="28"/>
          <w:szCs w:val="28"/>
        </w:rPr>
      </w:pPr>
      <w:r>
        <w:rPr>
          <w:sz w:val="28"/>
          <w:szCs w:val="28"/>
        </w:rPr>
        <w:t>Årlig renteindtægt på obligationerne  =  4% af kr. 5.000  =  kr. 200</w:t>
      </w:r>
    </w:p>
    <w:p w:rsidR="00987CC4" w:rsidRDefault="00987CC4" w:rsidP="00987CC4">
      <w:pPr>
        <w:jc w:val="both"/>
        <w:rPr>
          <w:sz w:val="28"/>
          <w:szCs w:val="28"/>
        </w:rPr>
      </w:pPr>
    </w:p>
    <w:p w:rsidR="00987CC4" w:rsidRDefault="00987CC4" w:rsidP="00987CC4">
      <w:pPr>
        <w:rPr>
          <w:sz w:val="28"/>
          <w:szCs w:val="28"/>
        </w:rPr>
      </w:pPr>
      <w:r w:rsidRPr="004B5A05">
        <w:rPr>
          <w:i/>
          <w:sz w:val="28"/>
          <w:szCs w:val="28"/>
        </w:rPr>
        <w:t>Regneark</w:t>
      </w:r>
      <w:r>
        <w:rPr>
          <w:sz w:val="28"/>
          <w:szCs w:val="28"/>
        </w:rPr>
        <w:t>:</w:t>
      </w:r>
    </w:p>
    <w:p w:rsidR="00987CC4" w:rsidRPr="000B0041" w:rsidRDefault="00987CC4" w:rsidP="00987CC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701"/>
        <w:gridCol w:w="851"/>
      </w:tblGrid>
      <w:tr w:rsidR="00987CC4" w:rsidRPr="000B0041" w:rsidTr="000F3075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0041">
              <w:rPr>
                <w:sz w:val="28"/>
                <w:szCs w:val="28"/>
              </w:rPr>
              <w:t>Nper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(antal terminer)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tabs>
                <w:tab w:val="decimal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Tab</w:t>
            </w:r>
          </w:p>
        </w:tc>
      </w:tr>
      <w:tr w:rsidR="00987CC4" w:rsidRPr="000B0041" w:rsidTr="000F3075"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Ydelse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(terminsydelse)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tabs>
                <w:tab w:val="decimal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Tab</w:t>
            </w:r>
          </w:p>
        </w:tc>
      </w:tr>
      <w:tr w:rsidR="00987CC4" w:rsidRPr="000B0041" w:rsidTr="000F3075"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</w:t>
            </w:r>
            <w:proofErr w:type="spellStart"/>
            <w:r w:rsidRPr="000B0041">
              <w:rPr>
                <w:sz w:val="28"/>
                <w:szCs w:val="28"/>
              </w:rPr>
              <w:t>Nv</w:t>
            </w:r>
            <w:proofErr w:type="spellEnd"/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(nutidsværdi)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tabs>
                <w:tab w:val="decimal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4450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Tab</w:t>
            </w:r>
          </w:p>
        </w:tc>
      </w:tr>
      <w:tr w:rsidR="00987CC4" w:rsidRPr="000B0041" w:rsidTr="000F3075"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</w:t>
            </w:r>
            <w:proofErr w:type="spellStart"/>
            <w:r w:rsidRPr="000B0041">
              <w:rPr>
                <w:sz w:val="28"/>
                <w:szCs w:val="28"/>
              </w:rPr>
              <w:t>Fv</w:t>
            </w:r>
            <w:proofErr w:type="spellEnd"/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(fremtidsværdi)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tabs>
                <w:tab w:val="decimal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Tab</w:t>
            </w:r>
          </w:p>
        </w:tc>
      </w:tr>
      <w:tr w:rsidR="00987CC4" w:rsidRPr="000B0041" w:rsidTr="000F3075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Type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(forud- eller efterbetalt)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tabs>
                <w:tab w:val="decimal" w:pos="1206"/>
              </w:tabs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CC4" w:rsidRPr="000B0041" w:rsidRDefault="00987CC4" w:rsidP="000F3075">
            <w:pPr>
              <w:rPr>
                <w:sz w:val="28"/>
                <w:szCs w:val="28"/>
              </w:rPr>
            </w:pPr>
            <w:r w:rsidRPr="000B0041">
              <w:rPr>
                <w:sz w:val="28"/>
                <w:szCs w:val="28"/>
              </w:rPr>
              <w:t xml:space="preserve"> OK</w:t>
            </w:r>
          </w:p>
        </w:tc>
      </w:tr>
    </w:tbl>
    <w:p w:rsidR="00987CC4" w:rsidRPr="000B0041" w:rsidRDefault="00987CC4" w:rsidP="00987CC4">
      <w:pPr>
        <w:tabs>
          <w:tab w:val="left" w:pos="3119"/>
        </w:tabs>
        <w:rPr>
          <w:sz w:val="28"/>
          <w:szCs w:val="28"/>
        </w:rPr>
      </w:pPr>
    </w:p>
    <w:p w:rsidR="00987CC4" w:rsidRDefault="00987CC4" w:rsidP="00987C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0B0041">
        <w:rPr>
          <w:sz w:val="28"/>
          <w:szCs w:val="28"/>
        </w:rPr>
        <w:t>egnearket</w:t>
      </w:r>
      <w:r>
        <w:rPr>
          <w:sz w:val="28"/>
          <w:szCs w:val="28"/>
        </w:rPr>
        <w:t xml:space="preserve"> viser</w:t>
      </w:r>
      <w:r w:rsidRPr="000B0041">
        <w:rPr>
          <w:sz w:val="28"/>
          <w:szCs w:val="28"/>
        </w:rPr>
        <w:t xml:space="preserve">, at </w:t>
      </w:r>
      <w:r>
        <w:rPr>
          <w:sz w:val="28"/>
          <w:szCs w:val="28"/>
        </w:rPr>
        <w:t>obligationsinvesteringen under de givne forudsætninger vil give investor en effektiv rente på 5,5</w:t>
      </w:r>
      <w:r w:rsidRPr="000B0041">
        <w:rPr>
          <w:sz w:val="28"/>
          <w:szCs w:val="28"/>
        </w:rPr>
        <w:t>% p</w:t>
      </w:r>
      <w:r>
        <w:rPr>
          <w:sz w:val="28"/>
          <w:szCs w:val="28"/>
        </w:rPr>
        <w:t>.a.</w:t>
      </w:r>
    </w:p>
    <w:p w:rsidR="00987CC4" w:rsidRDefault="00987CC4" w:rsidP="00987CC4">
      <w:pPr>
        <w:tabs>
          <w:tab w:val="left" w:pos="3969"/>
        </w:tabs>
        <w:rPr>
          <w:sz w:val="28"/>
          <w:szCs w:val="28"/>
        </w:rPr>
      </w:pPr>
    </w:p>
    <w:p w:rsidR="00D463C6" w:rsidRPr="00987CC4" w:rsidRDefault="00D463C6" w:rsidP="00987CC4">
      <w:pPr>
        <w:rPr>
          <w:szCs w:val="28"/>
        </w:rPr>
      </w:pPr>
    </w:p>
    <w:sectPr w:rsidR="00D463C6" w:rsidRPr="00987CC4" w:rsidSect="00987C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D0" w:rsidRDefault="004072D0" w:rsidP="00A07DC4">
      <w:pPr>
        <w:pStyle w:val="Sidefod"/>
      </w:pPr>
      <w:r>
        <w:separator/>
      </w:r>
    </w:p>
  </w:endnote>
  <w:endnote w:type="continuationSeparator" w:id="0">
    <w:p w:rsidR="004072D0" w:rsidRDefault="004072D0" w:rsidP="00A07DC4">
      <w:pPr>
        <w:pStyle w:val="Sidefo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F" w:rsidRDefault="00543D65" w:rsidP="00A07DC4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 w:rsidR="007253D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87CC4">
      <w:rPr>
        <w:rStyle w:val="Sidetal"/>
        <w:noProof/>
      </w:rPr>
      <w:t>6</w:t>
    </w:r>
    <w:r>
      <w:rPr>
        <w:rStyle w:val="Sidetal"/>
      </w:rPr>
      <w:fldChar w:fldCharType="end"/>
    </w:r>
  </w:p>
  <w:p w:rsidR="007253DF" w:rsidRDefault="007253DF" w:rsidP="00A07DC4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F" w:rsidRDefault="00543D65" w:rsidP="00A07DC4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 w:rsidR="007253D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95151">
      <w:rPr>
        <w:rStyle w:val="Sidetal"/>
        <w:noProof/>
      </w:rPr>
      <w:t>2</w:t>
    </w:r>
    <w:r>
      <w:rPr>
        <w:rStyle w:val="Sidetal"/>
      </w:rPr>
      <w:fldChar w:fldCharType="end"/>
    </w:r>
  </w:p>
  <w:p w:rsidR="007253DF" w:rsidRDefault="007253DF" w:rsidP="00A07DC4">
    <w:pPr>
      <w:pStyle w:val="Sidefo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D0" w:rsidRDefault="004072D0" w:rsidP="00A07DC4">
      <w:pPr>
        <w:pStyle w:val="Sidefod"/>
      </w:pPr>
      <w:r>
        <w:separator/>
      </w:r>
    </w:p>
  </w:footnote>
  <w:footnote w:type="continuationSeparator" w:id="0">
    <w:p w:rsidR="004072D0" w:rsidRDefault="004072D0" w:rsidP="00A07DC4">
      <w:pPr>
        <w:pStyle w:val="Sidefo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48"/>
      <w:gridCol w:w="9000"/>
    </w:tblGrid>
    <w:tr w:rsidR="007253DF" w:rsidTr="004210F8">
      <w:tc>
        <w:tcPr>
          <w:tcW w:w="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</w:tcPr>
        <w:p w:rsidR="007253DF" w:rsidRPr="004210F8" w:rsidRDefault="007253DF" w:rsidP="004210F8">
          <w:pPr>
            <w:pStyle w:val="Sidehoved"/>
            <w:ind w:left="-108" w:right="-108"/>
            <w:jc w:val="center"/>
            <w:rPr>
              <w:b/>
            </w:rPr>
          </w:pPr>
          <w:r w:rsidRPr="004210F8">
            <w:rPr>
              <w:b/>
            </w:rPr>
            <w:t>2</w:t>
          </w:r>
        </w:p>
      </w:tc>
      <w:tc>
        <w:tcPr>
          <w:tcW w:w="9000" w:type="dxa"/>
          <w:tcBorders>
            <w:left w:val="single" w:sz="4" w:space="0" w:color="auto"/>
            <w:bottom w:val="single" w:sz="4" w:space="0" w:color="auto"/>
          </w:tcBorders>
        </w:tcPr>
        <w:p w:rsidR="007253DF" w:rsidRDefault="007253DF" w:rsidP="004210F8">
          <w:pPr>
            <w:pStyle w:val="Sidehoved"/>
            <w:jc w:val="center"/>
          </w:pPr>
          <w:r>
            <w:t>Pengeinstitutter</w:t>
          </w:r>
        </w:p>
      </w:tc>
    </w:tr>
  </w:tbl>
  <w:p w:rsidR="007253DF" w:rsidRDefault="007253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7" w:type="dxa"/>
      <w:tblLook w:val="01E0" w:firstRow="1" w:lastRow="1" w:firstColumn="1" w:lastColumn="1" w:noHBand="0" w:noVBand="0"/>
    </w:tblPr>
    <w:tblGrid>
      <w:gridCol w:w="9108"/>
      <w:gridCol w:w="619"/>
    </w:tblGrid>
    <w:tr w:rsidR="007253DF" w:rsidTr="004210F8">
      <w:tc>
        <w:tcPr>
          <w:tcW w:w="9108" w:type="dxa"/>
          <w:tcBorders>
            <w:bottom w:val="single" w:sz="4" w:space="0" w:color="auto"/>
            <w:right w:val="single" w:sz="4" w:space="0" w:color="auto"/>
          </w:tcBorders>
        </w:tcPr>
        <w:p w:rsidR="007253DF" w:rsidRDefault="00C95151" w:rsidP="004210F8">
          <w:pPr>
            <w:pStyle w:val="Sidehoved"/>
            <w:jc w:val="center"/>
          </w:pPr>
          <w:r>
            <w:t>O</w:t>
          </w:r>
          <w:r w:rsidR="00987CC4">
            <w:t>bligationer</w:t>
          </w:r>
        </w:p>
      </w:tc>
      <w:tc>
        <w:tcPr>
          <w:tcW w:w="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</w:tcPr>
        <w:p w:rsidR="007253DF" w:rsidRPr="004210F8" w:rsidRDefault="00987CC4" w:rsidP="004210F8">
          <w:pPr>
            <w:pStyle w:val="Sidehoved"/>
            <w:jc w:val="center"/>
            <w:rPr>
              <w:b/>
            </w:rPr>
          </w:pPr>
          <w:r>
            <w:rPr>
              <w:b/>
            </w:rPr>
            <w:t>4</w:t>
          </w:r>
        </w:p>
      </w:tc>
    </w:tr>
  </w:tbl>
  <w:p w:rsidR="007253DF" w:rsidRDefault="007253D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EE"/>
    <w:multiLevelType w:val="hybridMultilevel"/>
    <w:tmpl w:val="BD365A4C"/>
    <w:lvl w:ilvl="0" w:tplc="4F4ED602">
      <w:start w:val="4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4539F"/>
    <w:multiLevelType w:val="hybridMultilevel"/>
    <w:tmpl w:val="89DAE1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923FB"/>
    <w:multiLevelType w:val="hybridMultilevel"/>
    <w:tmpl w:val="FF32E5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26B6"/>
    <w:multiLevelType w:val="hybridMultilevel"/>
    <w:tmpl w:val="59EAE0FE"/>
    <w:lvl w:ilvl="0" w:tplc="2E8C2FE8">
      <w:start w:val="3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D6205"/>
    <w:multiLevelType w:val="hybridMultilevel"/>
    <w:tmpl w:val="63A4EC7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862BF1"/>
    <w:multiLevelType w:val="hybridMultilevel"/>
    <w:tmpl w:val="E70E86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42652"/>
    <w:multiLevelType w:val="hybridMultilevel"/>
    <w:tmpl w:val="8CA8A57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5787CA0"/>
    <w:multiLevelType w:val="hybridMultilevel"/>
    <w:tmpl w:val="D7C666C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5A24D06"/>
    <w:multiLevelType w:val="hybridMultilevel"/>
    <w:tmpl w:val="3648C2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C199B"/>
    <w:multiLevelType w:val="hybridMultilevel"/>
    <w:tmpl w:val="5A82B0C8"/>
    <w:lvl w:ilvl="0" w:tplc="7E4A7DC4">
      <w:start w:val="3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D2DC0"/>
    <w:multiLevelType w:val="hybridMultilevel"/>
    <w:tmpl w:val="B05C62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236FC"/>
    <w:multiLevelType w:val="hybridMultilevel"/>
    <w:tmpl w:val="7C84695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12630"/>
    <w:multiLevelType w:val="hybridMultilevel"/>
    <w:tmpl w:val="6FB261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16FA8"/>
    <w:multiLevelType w:val="hybridMultilevel"/>
    <w:tmpl w:val="FA669F72"/>
    <w:lvl w:ilvl="0" w:tplc="0406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168CC"/>
    <w:multiLevelType w:val="hybridMultilevel"/>
    <w:tmpl w:val="3C3083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95182"/>
    <w:multiLevelType w:val="hybridMultilevel"/>
    <w:tmpl w:val="74AEA3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B7777"/>
    <w:multiLevelType w:val="hybridMultilevel"/>
    <w:tmpl w:val="C25A77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C3F42"/>
    <w:multiLevelType w:val="hybridMultilevel"/>
    <w:tmpl w:val="E1D2C33A"/>
    <w:lvl w:ilvl="0" w:tplc="F298361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60B4AA9"/>
    <w:multiLevelType w:val="hybridMultilevel"/>
    <w:tmpl w:val="145669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62D28"/>
    <w:multiLevelType w:val="hybridMultilevel"/>
    <w:tmpl w:val="467C7D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D2991"/>
    <w:multiLevelType w:val="hybridMultilevel"/>
    <w:tmpl w:val="CB9EFE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F50C0"/>
    <w:multiLevelType w:val="hybridMultilevel"/>
    <w:tmpl w:val="766A5E30"/>
    <w:lvl w:ilvl="0" w:tplc="C6044480">
      <w:start w:val="1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2"/>
  </w:num>
  <w:num w:numId="5">
    <w:abstractNumId w:val="20"/>
  </w:num>
  <w:num w:numId="6">
    <w:abstractNumId w:val="10"/>
  </w:num>
  <w:num w:numId="7">
    <w:abstractNumId w:val="19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21"/>
  </w:num>
  <w:num w:numId="14">
    <w:abstractNumId w:val="17"/>
  </w:num>
  <w:num w:numId="15">
    <w:abstractNumId w:val="8"/>
  </w:num>
  <w:num w:numId="16">
    <w:abstractNumId w:val="15"/>
  </w:num>
  <w:num w:numId="17">
    <w:abstractNumId w:val="5"/>
  </w:num>
  <w:num w:numId="18">
    <w:abstractNumId w:val="7"/>
  </w:num>
  <w:num w:numId="19">
    <w:abstractNumId w:val="6"/>
  </w:num>
  <w:num w:numId="20">
    <w:abstractNumId w:val="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62"/>
    <w:rsid w:val="00001540"/>
    <w:rsid w:val="00066D62"/>
    <w:rsid w:val="000C3D3F"/>
    <w:rsid w:val="000F218B"/>
    <w:rsid w:val="00157A45"/>
    <w:rsid w:val="001965C7"/>
    <w:rsid w:val="001A4261"/>
    <w:rsid w:val="001A6BF4"/>
    <w:rsid w:val="001D137C"/>
    <w:rsid w:val="001D43ED"/>
    <w:rsid w:val="001D7CEB"/>
    <w:rsid w:val="001F29B6"/>
    <w:rsid w:val="00200962"/>
    <w:rsid w:val="00212376"/>
    <w:rsid w:val="002858A9"/>
    <w:rsid w:val="002A4744"/>
    <w:rsid w:val="002C6833"/>
    <w:rsid w:val="00376E3F"/>
    <w:rsid w:val="00396FA0"/>
    <w:rsid w:val="003B1E51"/>
    <w:rsid w:val="003F4143"/>
    <w:rsid w:val="004072D0"/>
    <w:rsid w:val="004210F8"/>
    <w:rsid w:val="004217BE"/>
    <w:rsid w:val="00477CAB"/>
    <w:rsid w:val="00481385"/>
    <w:rsid w:val="004A4168"/>
    <w:rsid w:val="004E556F"/>
    <w:rsid w:val="004F5215"/>
    <w:rsid w:val="00506058"/>
    <w:rsid w:val="00512056"/>
    <w:rsid w:val="0052485F"/>
    <w:rsid w:val="0054095A"/>
    <w:rsid w:val="00541717"/>
    <w:rsid w:val="00543D65"/>
    <w:rsid w:val="005508E1"/>
    <w:rsid w:val="0055682E"/>
    <w:rsid w:val="0056078B"/>
    <w:rsid w:val="005A5981"/>
    <w:rsid w:val="005B06B9"/>
    <w:rsid w:val="005C065E"/>
    <w:rsid w:val="005C28B1"/>
    <w:rsid w:val="005D5241"/>
    <w:rsid w:val="00612C2D"/>
    <w:rsid w:val="00616880"/>
    <w:rsid w:val="00621CF5"/>
    <w:rsid w:val="00665DEE"/>
    <w:rsid w:val="00665F96"/>
    <w:rsid w:val="00677F6E"/>
    <w:rsid w:val="0068553A"/>
    <w:rsid w:val="006A08D0"/>
    <w:rsid w:val="006B0BD5"/>
    <w:rsid w:val="006D736E"/>
    <w:rsid w:val="006E7B2A"/>
    <w:rsid w:val="00702B4C"/>
    <w:rsid w:val="00715D8B"/>
    <w:rsid w:val="007253DF"/>
    <w:rsid w:val="00811151"/>
    <w:rsid w:val="00811A64"/>
    <w:rsid w:val="00816021"/>
    <w:rsid w:val="008245B3"/>
    <w:rsid w:val="008803E0"/>
    <w:rsid w:val="00882D01"/>
    <w:rsid w:val="00885A79"/>
    <w:rsid w:val="0088616A"/>
    <w:rsid w:val="00890A38"/>
    <w:rsid w:val="008D6FB2"/>
    <w:rsid w:val="008E0065"/>
    <w:rsid w:val="009257E2"/>
    <w:rsid w:val="00931315"/>
    <w:rsid w:val="00987CC4"/>
    <w:rsid w:val="009950AE"/>
    <w:rsid w:val="009D35E7"/>
    <w:rsid w:val="009F3B51"/>
    <w:rsid w:val="00A07DC4"/>
    <w:rsid w:val="00A225D1"/>
    <w:rsid w:val="00A408BE"/>
    <w:rsid w:val="00A619C5"/>
    <w:rsid w:val="00AB1D4D"/>
    <w:rsid w:val="00AC4270"/>
    <w:rsid w:val="00AD73B6"/>
    <w:rsid w:val="00AE3613"/>
    <w:rsid w:val="00AF3A67"/>
    <w:rsid w:val="00AF74E0"/>
    <w:rsid w:val="00B602AF"/>
    <w:rsid w:val="00B91887"/>
    <w:rsid w:val="00BA07D2"/>
    <w:rsid w:val="00BA48B9"/>
    <w:rsid w:val="00BB45E1"/>
    <w:rsid w:val="00BE0BC6"/>
    <w:rsid w:val="00BE361C"/>
    <w:rsid w:val="00BE6B52"/>
    <w:rsid w:val="00BF0C55"/>
    <w:rsid w:val="00C47F3D"/>
    <w:rsid w:val="00C9419C"/>
    <w:rsid w:val="00C95151"/>
    <w:rsid w:val="00CE3032"/>
    <w:rsid w:val="00D0709C"/>
    <w:rsid w:val="00D264BB"/>
    <w:rsid w:val="00D463C6"/>
    <w:rsid w:val="00D5367D"/>
    <w:rsid w:val="00D57956"/>
    <w:rsid w:val="00D60521"/>
    <w:rsid w:val="00DE51C7"/>
    <w:rsid w:val="00DE581A"/>
    <w:rsid w:val="00E00C2C"/>
    <w:rsid w:val="00E00E88"/>
    <w:rsid w:val="00E0563A"/>
    <w:rsid w:val="00E17960"/>
    <w:rsid w:val="00E73AC2"/>
    <w:rsid w:val="00E85366"/>
    <w:rsid w:val="00EA2188"/>
    <w:rsid w:val="00EC5C4D"/>
    <w:rsid w:val="00F1545C"/>
    <w:rsid w:val="00F1752D"/>
    <w:rsid w:val="00F2564F"/>
    <w:rsid w:val="00F26EA4"/>
    <w:rsid w:val="00F52C38"/>
    <w:rsid w:val="00F672EF"/>
    <w:rsid w:val="00F70069"/>
    <w:rsid w:val="00F73867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7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009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00962"/>
    <w:rPr>
      <w:color w:val="0000FF"/>
      <w:u w:val="single"/>
    </w:rPr>
  </w:style>
  <w:style w:type="table" w:styleId="Tabel-Gitter">
    <w:name w:val="Table Grid"/>
    <w:basedOn w:val="Tabel-Normal"/>
    <w:rsid w:val="00BE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k">
    <w:name w:val="Strong"/>
    <w:basedOn w:val="Standardskrifttypeiafsnit"/>
    <w:qFormat/>
    <w:rsid w:val="00506058"/>
    <w:rPr>
      <w:b/>
      <w:bCs/>
    </w:rPr>
  </w:style>
  <w:style w:type="paragraph" w:styleId="Dokumentoversigt">
    <w:name w:val="Document Map"/>
    <w:basedOn w:val="Normal"/>
    <w:semiHidden/>
    <w:rsid w:val="00E73A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fod">
    <w:name w:val="footer"/>
    <w:basedOn w:val="Normal"/>
    <w:rsid w:val="00A07DC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07DC4"/>
  </w:style>
  <w:style w:type="paragraph" w:styleId="Sidehoved">
    <w:name w:val="header"/>
    <w:basedOn w:val="Normal"/>
    <w:rsid w:val="00A07DC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B0B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B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13</vt:i4>
      </vt:variant>
    </vt:vector>
  </HeadingPairs>
  <TitlesOfParts>
    <vt:vector size="14" baseType="lpstr">
      <vt:lpstr>2</vt:lpstr>
      <vt:lpstr>Til kapitel 3: Pengeinstitutter</vt:lpstr>
      <vt:lpstr/>
      <vt:lpstr>Opgave 3.12</vt:lpstr>
      <vt:lpstr/>
      <vt:lpstr>A. (Tilbud 1.)</vt:lpstr>
      <vt:lpstr/>
      <vt:lpstr/>
      <vt:lpstr>B. (Tilbud 2)</vt:lpstr>
      <vt:lpstr/>
      <vt:lpstr/>
      <vt:lpstr>Opgave 3.13</vt:lpstr>
      <vt:lpstr>Opgave 3.14</vt:lpstr>
      <vt:lpstr/>
    </vt:vector>
  </TitlesOfParts>
  <Company>Holstebro Handelsskole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KB</dc:creator>
  <cp:lastModifiedBy>rha</cp:lastModifiedBy>
  <cp:revision>3</cp:revision>
  <cp:lastPrinted>2011-08-19T10:29:00Z</cp:lastPrinted>
  <dcterms:created xsi:type="dcterms:W3CDTF">2011-08-22T12:05:00Z</dcterms:created>
  <dcterms:modified xsi:type="dcterms:W3CDTF">2013-10-29T09:19:00Z</dcterms:modified>
</cp:coreProperties>
</file>