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F49" w:rsidRPr="003C13FC" w:rsidRDefault="00843F49" w:rsidP="00843F49">
      <w:pPr>
        <w:keepNext/>
        <w:autoSpaceDE/>
        <w:autoSpaceDN/>
        <w:spacing w:before="240"/>
        <w:ind w:right="-57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Til kapitel </w:t>
      </w:r>
      <w:r w:rsidR="00D66956">
        <w:rPr>
          <w:rFonts w:ascii="Times New Roman" w:hAnsi="Times New Roman" w:cs="Times New Roman"/>
          <w:b/>
          <w:bCs/>
          <w:kern w:val="32"/>
          <w:sz w:val="36"/>
          <w:szCs w:val="36"/>
        </w:rPr>
        <w:t>6</w:t>
      </w:r>
      <w:r>
        <w:rPr>
          <w:rFonts w:ascii="Times New Roman" w:hAnsi="Times New Roman" w:cs="Times New Roman"/>
          <w:b/>
          <w:bCs/>
          <w:kern w:val="32"/>
          <w:sz w:val="36"/>
          <w:szCs w:val="36"/>
        </w:rPr>
        <w:t>:</w:t>
      </w:r>
      <w:r w:rsidRPr="003C13FC">
        <w:rPr>
          <w:rFonts w:ascii="Times New Roman" w:hAnsi="Times New Roman" w:cs="Times New Roman"/>
          <w:b/>
          <w:bCs/>
          <w:kern w:val="32"/>
          <w:sz w:val="36"/>
          <w:szCs w:val="36"/>
        </w:rPr>
        <w:t xml:space="preserve"> Rentedannelse</w:t>
      </w:r>
    </w:p>
    <w:p w:rsidR="00843F49" w:rsidRDefault="00843F49" w:rsidP="00843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3F49" w:rsidRPr="00D57578" w:rsidRDefault="00843F49" w:rsidP="00843F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578">
        <w:rPr>
          <w:rFonts w:ascii="Times New Roman" w:hAnsi="Times New Roman" w:cs="Times New Roman"/>
          <w:b/>
          <w:sz w:val="28"/>
          <w:szCs w:val="28"/>
        </w:rPr>
        <w:t xml:space="preserve">Opgave </w:t>
      </w:r>
      <w:r w:rsidR="004342BB">
        <w:rPr>
          <w:rFonts w:ascii="Times New Roman" w:hAnsi="Times New Roman" w:cs="Times New Roman"/>
          <w:b/>
          <w:sz w:val="28"/>
          <w:szCs w:val="28"/>
        </w:rPr>
        <w:t>6</w:t>
      </w:r>
      <w:r w:rsidRPr="00D5757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B51DE" w:rsidRPr="00E953A3" w:rsidRDefault="00FB51DE" w:rsidP="00FB51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FB51DE" w:rsidRPr="001062F6" w:rsidTr="00644A44">
        <w:tc>
          <w:tcPr>
            <w:tcW w:w="6948" w:type="dxa"/>
            <w:gridSpan w:val="2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Forkert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Nationalbankens direktør står direkte til ansvar over for den til enhver tid siddende finansminister i Danmark.</w:t>
            </w:r>
          </w:p>
        </w:tc>
        <w:tc>
          <w:tcPr>
            <w:tcW w:w="1440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 fastlægger pengepolitikken i Danmark.</w:t>
            </w:r>
          </w:p>
        </w:tc>
        <w:tc>
          <w:tcPr>
            <w:tcW w:w="1440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Nationalbankens kunder omfatter staten, de danske pengeinstitutter samt de 20 største selskaber i Danmark.</w:t>
            </w:r>
          </w:p>
        </w:tc>
        <w:tc>
          <w:tcPr>
            <w:tcW w:w="1440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 tager sig af den danske pengeforsyning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0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En af Nationalbankens hovedopgaver er at passe på den danske krone.</w:t>
            </w:r>
          </w:p>
        </w:tc>
        <w:tc>
          <w:tcPr>
            <w:tcW w:w="1440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Kursen på danske kroner vil stige, når udenlandske virksomheder efterspørger flere danske kroner.</w:t>
            </w:r>
          </w:p>
        </w:tc>
        <w:tc>
          <w:tcPr>
            <w:tcW w:w="1440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 fastlægger den danske diskonto efter forhandling med de danske pengeinstitutter.</w:t>
            </w:r>
          </w:p>
        </w:tc>
        <w:tc>
          <w:tcPr>
            <w:tcW w:w="1440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8.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Når Nationalbanken opkøber danske kroner, vil det medføre, at kursen på danske kroner falder.</w:t>
            </w:r>
          </w:p>
        </w:tc>
        <w:tc>
          <w:tcPr>
            <w:tcW w:w="1440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Man taler om, at Nationalbanken fører en stram pengepolitik, når den gennemfører foranstaltninger, der får den danske rente til at stige.</w:t>
            </w:r>
          </w:p>
        </w:tc>
        <w:tc>
          <w:tcPr>
            <w:tcW w:w="1440" w:type="dxa"/>
          </w:tcPr>
          <w:p w:rsidR="00FB51DE" w:rsidRPr="001062F6" w:rsidRDefault="0069217C" w:rsidP="006921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6921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3F49" w:rsidRDefault="00843F49"/>
    <w:p w:rsidR="0069217C" w:rsidRDefault="0069217C"/>
    <w:p w:rsidR="00843F49" w:rsidRPr="00E65F91" w:rsidRDefault="004342BB" w:rsidP="00843F49">
      <w:pPr>
        <w:autoSpaceDE/>
        <w:autoSpaceDN/>
        <w:jc w:val="both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bCs/>
          <w:kern w:val="0"/>
          <w:sz w:val="28"/>
          <w:szCs w:val="28"/>
        </w:rPr>
        <w:t>.2</w:t>
      </w: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b/>
          <w:bCs/>
          <w:kern w:val="0"/>
          <w:sz w:val="28"/>
          <w:szCs w:val="28"/>
        </w:rPr>
      </w:pP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bCs/>
          <w:kern w:val="0"/>
          <w:sz w:val="28"/>
          <w:szCs w:val="28"/>
        </w:rPr>
      </w:pPr>
      <w:r w:rsidRPr="00E65F91">
        <w:rPr>
          <w:rFonts w:ascii="Times New Roman" w:hAnsi="Times New Roman" w:cs="Times New Roman"/>
          <w:bCs/>
          <w:kern w:val="0"/>
          <w:sz w:val="28"/>
          <w:szCs w:val="28"/>
        </w:rPr>
        <w:t>A.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 xml:space="preserve">Inflation dækker over det begreb, at vedvarende prisstigninger udhuler </w:t>
      </w:r>
      <w:r>
        <w:rPr>
          <w:rFonts w:ascii="Times New Roman" w:hAnsi="Times New Roman" w:cs="Times New Roman"/>
          <w:sz w:val="28"/>
          <w:szCs w:val="28"/>
        </w:rPr>
        <w:t xml:space="preserve">pengenes </w:t>
      </w:r>
      <w:r w:rsidRPr="00E65F91">
        <w:rPr>
          <w:rFonts w:ascii="Times New Roman" w:hAnsi="Times New Roman" w:cs="Times New Roman"/>
          <w:sz w:val="28"/>
          <w:szCs w:val="28"/>
        </w:rPr>
        <w:t>købekraft.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B.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i/>
          <w:sz w:val="28"/>
          <w:szCs w:val="28"/>
        </w:rPr>
        <w:t>Efterspørgselsinflation</w:t>
      </w:r>
      <w:r w:rsidRPr="00E65F91">
        <w:rPr>
          <w:rFonts w:ascii="Times New Roman" w:hAnsi="Times New Roman" w:cs="Times New Roman"/>
          <w:sz w:val="28"/>
          <w:szCs w:val="28"/>
        </w:rPr>
        <w:t>: Stigende efterspørgsel får priserne til at stige.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i/>
          <w:sz w:val="28"/>
          <w:szCs w:val="28"/>
        </w:rPr>
        <w:t>Omkostningsinflation</w:t>
      </w:r>
      <w:r w:rsidRPr="00E65F91">
        <w:rPr>
          <w:rFonts w:ascii="Times New Roman" w:hAnsi="Times New Roman" w:cs="Times New Roman"/>
          <w:sz w:val="28"/>
          <w:szCs w:val="28"/>
        </w:rPr>
        <w:t>: Stigende omkostninger får priserne til at stige.</w:t>
      </w:r>
    </w:p>
    <w:p w:rsidR="00843F49" w:rsidRPr="00E65F91" w:rsidRDefault="00843F49" w:rsidP="00843F49">
      <w:pPr>
        <w:ind w:left="426" w:hanging="36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i/>
          <w:sz w:val="28"/>
          <w:szCs w:val="28"/>
        </w:rPr>
        <w:t>Importeret inflation</w:t>
      </w:r>
      <w:r w:rsidRPr="00E65F91">
        <w:rPr>
          <w:rFonts w:ascii="Times New Roman" w:hAnsi="Times New Roman" w:cs="Times New Roman"/>
          <w:sz w:val="28"/>
          <w:szCs w:val="28"/>
        </w:rPr>
        <w:t>: Stigende priser på importerede (rå)varer får priserne til at stige.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C.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Rentestigninger dæmper virksomhedernes investeringslyst, og det formindsker forbrugernes lyst til at låne til forbrug. Begge forhold vil lægge en dæmper på prispresset. Der er simpelthen ikke plads til prisstigninger i en skærpet konkurrencesituation.</w:t>
      </w:r>
    </w:p>
    <w:p w:rsidR="00843F49" w:rsidRPr="00E65F91" w:rsidRDefault="004342BB" w:rsidP="00843F49">
      <w:pPr>
        <w:autoSpaceDE/>
        <w:autoSpaceDN/>
        <w:jc w:val="both"/>
        <w:outlineLvl w:val="0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lastRenderedPageBreak/>
        <w:t>Opgave 6</w:t>
      </w:r>
      <w:r w:rsidR="00843F49" w:rsidRPr="00E65F91">
        <w:rPr>
          <w:rFonts w:ascii="Times New Roman" w:hAnsi="Times New Roman" w:cs="Times New Roman"/>
          <w:b/>
          <w:bCs/>
          <w:kern w:val="0"/>
          <w:sz w:val="28"/>
          <w:szCs w:val="28"/>
        </w:rPr>
        <w:t>.3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A.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6"/>
          <w:szCs w:val="26"/>
        </w:rPr>
        <w:t>ECB</w:t>
      </w:r>
      <w:r>
        <w:rPr>
          <w:rFonts w:ascii="Times New Roman" w:hAnsi="Times New Roman" w:cs="Times New Roman"/>
          <w:sz w:val="28"/>
          <w:szCs w:val="28"/>
        </w:rPr>
        <w:t xml:space="preserve"> anser det at bidrage til skabelsen af økonomisk v</w:t>
      </w:r>
      <w:r w:rsidRPr="00E65F91">
        <w:rPr>
          <w:rFonts w:ascii="Times New Roman" w:hAnsi="Times New Roman" w:cs="Times New Roman"/>
          <w:sz w:val="28"/>
          <w:szCs w:val="28"/>
        </w:rPr>
        <w:t xml:space="preserve">ækst </w:t>
      </w:r>
      <w:r>
        <w:rPr>
          <w:rFonts w:ascii="Times New Roman" w:hAnsi="Times New Roman" w:cs="Times New Roman"/>
          <w:sz w:val="28"/>
          <w:szCs w:val="28"/>
        </w:rPr>
        <w:t>som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et meget </w:t>
      </w:r>
      <w:r w:rsidRPr="00E65F91">
        <w:rPr>
          <w:rFonts w:ascii="Times New Roman" w:hAnsi="Times New Roman" w:cs="Times New Roman"/>
          <w:sz w:val="28"/>
          <w:szCs w:val="28"/>
        </w:rPr>
        <w:t>vigt</w:t>
      </w:r>
      <w:r>
        <w:rPr>
          <w:rFonts w:ascii="Times New Roman" w:hAnsi="Times New Roman" w:cs="Times New Roman"/>
          <w:sz w:val="28"/>
          <w:szCs w:val="28"/>
        </w:rPr>
        <w:t xml:space="preserve">igt mål. </w:t>
      </w:r>
      <w:r w:rsidRPr="00E65F91">
        <w:rPr>
          <w:rFonts w:ascii="Times New Roman" w:hAnsi="Times New Roman" w:cs="Times New Roman"/>
          <w:sz w:val="26"/>
          <w:szCs w:val="26"/>
        </w:rPr>
        <w:t>ECB</w:t>
      </w:r>
      <w:r>
        <w:rPr>
          <w:rFonts w:ascii="Times New Roman" w:hAnsi="Times New Roman" w:cs="Times New Roman"/>
          <w:sz w:val="28"/>
          <w:szCs w:val="28"/>
        </w:rPr>
        <w:t xml:space="preserve"> betragter ligeledes </w:t>
      </w:r>
      <w:r w:rsidRPr="00E65F91">
        <w:rPr>
          <w:rFonts w:ascii="Times New Roman" w:hAnsi="Times New Roman" w:cs="Times New Roman"/>
          <w:sz w:val="28"/>
          <w:szCs w:val="28"/>
        </w:rPr>
        <w:t xml:space="preserve">inflationsbekæmpelse </w:t>
      </w:r>
      <w:r>
        <w:rPr>
          <w:rFonts w:ascii="Times New Roman" w:hAnsi="Times New Roman" w:cs="Times New Roman"/>
          <w:sz w:val="28"/>
          <w:szCs w:val="28"/>
        </w:rPr>
        <w:t xml:space="preserve">som et meget </w:t>
      </w:r>
      <w:r w:rsidRPr="00E65F91">
        <w:rPr>
          <w:rFonts w:ascii="Times New Roman" w:hAnsi="Times New Roman" w:cs="Times New Roman"/>
          <w:sz w:val="28"/>
          <w:szCs w:val="28"/>
        </w:rPr>
        <w:t>vigtig</w:t>
      </w:r>
      <w:r>
        <w:rPr>
          <w:rFonts w:ascii="Times New Roman" w:hAnsi="Times New Roman" w:cs="Times New Roman"/>
          <w:sz w:val="28"/>
          <w:szCs w:val="28"/>
        </w:rPr>
        <w:t>t mål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Hvis</w:t>
      </w:r>
      <w:r w:rsidRPr="00E65F91">
        <w:rPr>
          <w:rFonts w:ascii="Times New Roman" w:hAnsi="Times New Roman" w:cs="Times New Roman"/>
          <w:sz w:val="28"/>
          <w:szCs w:val="28"/>
        </w:rPr>
        <w:t xml:space="preserve"> de to mål på et givet tidspunkt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Pr="00E65F91">
        <w:rPr>
          <w:rFonts w:ascii="Times New Roman" w:hAnsi="Times New Roman" w:cs="Times New Roman"/>
          <w:sz w:val="28"/>
          <w:szCs w:val="28"/>
        </w:rPr>
        <w:t xml:space="preserve">i modstrid med hinanden,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6"/>
          <w:szCs w:val="26"/>
        </w:rPr>
        <w:t>ECB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1">
        <w:rPr>
          <w:rFonts w:ascii="Times New Roman" w:hAnsi="Times New Roman" w:cs="Times New Roman"/>
          <w:sz w:val="28"/>
          <w:szCs w:val="28"/>
        </w:rPr>
        <w:t>vælge inflationsbekæmpel</w:t>
      </w:r>
      <w:r>
        <w:rPr>
          <w:rFonts w:ascii="Times New Roman" w:hAnsi="Times New Roman" w:cs="Times New Roman"/>
          <w:sz w:val="28"/>
          <w:szCs w:val="28"/>
        </w:rPr>
        <w:t>se frem for skabelse af økonomisk vækst.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B.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Svaret er afhængig af den givne situation på besvarelsestidspunktet.</w:t>
      </w:r>
      <w:r w:rsidR="006921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.4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A.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s</w:t>
      </w:r>
      <w:r w:rsidRPr="00E65F91">
        <w:rPr>
          <w:rFonts w:ascii="Times New Roman" w:hAnsi="Times New Roman" w:cs="Times New Roman"/>
          <w:sz w:val="28"/>
          <w:szCs w:val="28"/>
        </w:rPr>
        <w:t>tigende efterspørgsel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1">
        <w:rPr>
          <w:rFonts w:ascii="Times New Roman" w:hAnsi="Times New Roman" w:cs="Times New Roman"/>
          <w:sz w:val="28"/>
          <w:szCs w:val="28"/>
        </w:rPr>
        <w:t xml:space="preserve">og </w:t>
      </w:r>
      <w:r>
        <w:rPr>
          <w:rFonts w:ascii="Times New Roman" w:hAnsi="Times New Roman" w:cs="Times New Roman"/>
          <w:sz w:val="28"/>
          <w:szCs w:val="28"/>
        </w:rPr>
        <w:t xml:space="preserve">de stigende </w:t>
      </w:r>
      <w:r w:rsidRPr="00E65F91">
        <w:rPr>
          <w:rFonts w:ascii="Times New Roman" w:hAnsi="Times New Roman" w:cs="Times New Roman"/>
          <w:sz w:val="28"/>
          <w:szCs w:val="28"/>
        </w:rPr>
        <w:t>omkostning</w:t>
      </w:r>
      <w:r>
        <w:rPr>
          <w:rFonts w:ascii="Times New Roman" w:hAnsi="Times New Roman" w:cs="Times New Roman"/>
          <w:sz w:val="28"/>
          <w:szCs w:val="28"/>
        </w:rPr>
        <w:t xml:space="preserve">er vil medføre en stigende </w:t>
      </w:r>
      <w:r w:rsidRPr="00E65F91">
        <w:rPr>
          <w:rFonts w:ascii="Times New Roman" w:hAnsi="Times New Roman" w:cs="Times New Roman"/>
          <w:sz w:val="28"/>
          <w:szCs w:val="28"/>
        </w:rPr>
        <w:t>inflation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B.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overophedning af </w:t>
      </w:r>
      <w:r w:rsidRPr="00E65F91">
        <w:rPr>
          <w:rFonts w:ascii="Times New Roman" w:hAnsi="Times New Roman" w:cs="Times New Roman"/>
          <w:sz w:val="28"/>
          <w:szCs w:val="28"/>
        </w:rPr>
        <w:t>arbejdsmarked</w:t>
      </w:r>
      <w:r>
        <w:rPr>
          <w:rFonts w:ascii="Times New Roman" w:hAnsi="Times New Roman" w:cs="Times New Roman"/>
          <w:sz w:val="28"/>
          <w:szCs w:val="28"/>
        </w:rPr>
        <w:t>et</w:t>
      </w:r>
      <w:r w:rsidRPr="00E65F91">
        <w:rPr>
          <w:rFonts w:ascii="Times New Roman" w:hAnsi="Times New Roman" w:cs="Times New Roman"/>
          <w:sz w:val="28"/>
          <w:szCs w:val="28"/>
        </w:rPr>
        <w:t xml:space="preserve"> i Danmark medfører en højere </w:t>
      </w:r>
      <w:r w:rsidR="0069217C">
        <w:rPr>
          <w:rFonts w:ascii="Times New Roman" w:hAnsi="Times New Roman" w:cs="Times New Roman"/>
          <w:sz w:val="28"/>
          <w:szCs w:val="28"/>
        </w:rPr>
        <w:t>risiko for omkostningsinflation, hvorimod stigende oliepris gavner Norges vækst mere end den skaber inflation.  Inflationstruslen må derfor antages at være størst i Danmark.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 xml:space="preserve">Norge </w:t>
      </w:r>
      <w:r>
        <w:rPr>
          <w:rFonts w:ascii="Times New Roman" w:hAnsi="Times New Roman" w:cs="Times New Roman"/>
          <w:sz w:val="28"/>
          <w:szCs w:val="28"/>
        </w:rPr>
        <w:t>vil</w:t>
      </w:r>
      <w:r w:rsidRPr="00E65F91">
        <w:rPr>
          <w:rFonts w:ascii="Times New Roman" w:hAnsi="Times New Roman" w:cs="Times New Roman"/>
          <w:sz w:val="28"/>
          <w:szCs w:val="28"/>
        </w:rPr>
        <w:t xml:space="preserve"> som </w:t>
      </w:r>
      <w:r>
        <w:rPr>
          <w:rFonts w:ascii="Times New Roman" w:hAnsi="Times New Roman" w:cs="Times New Roman"/>
          <w:sz w:val="28"/>
          <w:szCs w:val="28"/>
        </w:rPr>
        <w:t xml:space="preserve">et </w:t>
      </w:r>
      <w:r w:rsidRPr="00E65F91">
        <w:rPr>
          <w:rFonts w:ascii="Times New Roman" w:hAnsi="Times New Roman" w:cs="Times New Roman"/>
          <w:sz w:val="28"/>
          <w:szCs w:val="28"/>
        </w:rPr>
        <w:t xml:space="preserve">ikke EU medlem </w:t>
      </w:r>
      <w:r>
        <w:rPr>
          <w:rFonts w:ascii="Times New Roman" w:hAnsi="Times New Roman" w:cs="Times New Roman"/>
          <w:sz w:val="28"/>
          <w:szCs w:val="28"/>
        </w:rPr>
        <w:t xml:space="preserve">sandsynligvis blive </w:t>
      </w:r>
      <w:r w:rsidRPr="00E65F91">
        <w:rPr>
          <w:rFonts w:ascii="Times New Roman" w:hAnsi="Times New Roman" w:cs="Times New Roman"/>
          <w:sz w:val="28"/>
          <w:szCs w:val="28"/>
        </w:rPr>
        <w:t>mindst påvirket af den europæiske renteudvik</w:t>
      </w:r>
      <w:r>
        <w:rPr>
          <w:rFonts w:ascii="Times New Roman" w:hAnsi="Times New Roman" w:cs="Times New Roman"/>
          <w:sz w:val="28"/>
          <w:szCs w:val="28"/>
        </w:rPr>
        <w:t xml:space="preserve">ling. Man </w:t>
      </w:r>
      <w:r w:rsidRPr="00E65F91">
        <w:rPr>
          <w:rFonts w:ascii="Times New Roman" w:hAnsi="Times New Roman" w:cs="Times New Roman"/>
          <w:sz w:val="28"/>
          <w:szCs w:val="28"/>
        </w:rPr>
        <w:t xml:space="preserve">vil derfor </w:t>
      </w:r>
      <w:r>
        <w:rPr>
          <w:rFonts w:ascii="Times New Roman" w:hAnsi="Times New Roman" w:cs="Times New Roman"/>
          <w:sz w:val="28"/>
          <w:szCs w:val="28"/>
        </w:rPr>
        <w:t xml:space="preserve">i Norge </w:t>
      </w:r>
      <w:r w:rsidRPr="00E65F91">
        <w:rPr>
          <w:rFonts w:ascii="Times New Roman" w:hAnsi="Times New Roman" w:cs="Times New Roman"/>
          <w:sz w:val="28"/>
          <w:szCs w:val="28"/>
        </w:rPr>
        <w:t xml:space="preserve">formodentlig bevæge sig mod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Pr="00E65F91">
        <w:rPr>
          <w:rFonts w:ascii="Times New Roman" w:hAnsi="Times New Roman" w:cs="Times New Roman"/>
          <w:sz w:val="28"/>
          <w:szCs w:val="28"/>
        </w:rPr>
        <w:t xml:space="preserve">uændret eller </w:t>
      </w:r>
      <w:r>
        <w:rPr>
          <w:rFonts w:ascii="Times New Roman" w:hAnsi="Times New Roman" w:cs="Times New Roman"/>
          <w:sz w:val="28"/>
          <w:szCs w:val="28"/>
        </w:rPr>
        <w:t xml:space="preserve">en lidt </w:t>
      </w:r>
      <w:r w:rsidRPr="00E65F91">
        <w:rPr>
          <w:rFonts w:ascii="Times New Roman" w:hAnsi="Times New Roman" w:cs="Times New Roman"/>
          <w:sz w:val="28"/>
          <w:szCs w:val="28"/>
        </w:rPr>
        <w:t>faldende rente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når den globale økonomi øjensynligt går ned i gear.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de øvrige nordiske lande må der på kort sigt ventes et stigende renteniveau, der vil blive afløst af en stagnerende eller lidt faldende rente, når den forventede opbremsning i den globale økonomi indtræffer.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.5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A.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Nationalbanken kan m</w:t>
      </w:r>
      <w:r w:rsidRPr="00E65F91">
        <w:rPr>
          <w:rFonts w:ascii="Times New Roman" w:hAnsi="Times New Roman" w:cs="Times New Roman"/>
          <w:sz w:val="28"/>
          <w:szCs w:val="28"/>
        </w:rPr>
        <w:t xml:space="preserve">ed en rentestigning eller </w:t>
      </w:r>
      <w:r>
        <w:rPr>
          <w:rFonts w:ascii="Times New Roman" w:hAnsi="Times New Roman" w:cs="Times New Roman"/>
          <w:sz w:val="28"/>
          <w:szCs w:val="28"/>
        </w:rPr>
        <w:t xml:space="preserve">en </w:t>
      </w:r>
      <w:r w:rsidRPr="00E65F91">
        <w:rPr>
          <w:rFonts w:ascii="Times New Roman" w:hAnsi="Times New Roman" w:cs="Times New Roman"/>
          <w:sz w:val="28"/>
          <w:szCs w:val="28"/>
        </w:rPr>
        <w:t>rentenedsættelse gøre det mere eller min</w:t>
      </w:r>
      <w:r>
        <w:rPr>
          <w:rFonts w:ascii="Times New Roman" w:hAnsi="Times New Roman" w:cs="Times New Roman"/>
          <w:sz w:val="28"/>
          <w:szCs w:val="28"/>
        </w:rPr>
        <w:t xml:space="preserve">dre attraktivt </w:t>
      </w:r>
      <w:r w:rsidRPr="00E65F91">
        <w:rPr>
          <w:rFonts w:ascii="Times New Roman" w:hAnsi="Times New Roman" w:cs="Times New Roman"/>
          <w:sz w:val="28"/>
          <w:szCs w:val="28"/>
        </w:rPr>
        <w:t xml:space="preserve">at have penge </w:t>
      </w:r>
      <w:r>
        <w:rPr>
          <w:rFonts w:ascii="Times New Roman" w:hAnsi="Times New Roman" w:cs="Times New Roman"/>
          <w:sz w:val="28"/>
          <w:szCs w:val="28"/>
        </w:rPr>
        <w:t>»stående</w:t>
      </w:r>
      <w:r w:rsidRPr="00E65F91">
        <w:rPr>
          <w:rFonts w:ascii="Times New Roman" w:hAnsi="Times New Roman" w:cs="Times New Roman"/>
          <w:sz w:val="28"/>
          <w:szCs w:val="28"/>
        </w:rPr>
        <w:t xml:space="preserve"> i</w:t>
      </w:r>
      <w:r>
        <w:rPr>
          <w:rFonts w:ascii="Times New Roman" w:hAnsi="Times New Roman" w:cs="Times New Roman"/>
          <w:sz w:val="28"/>
          <w:szCs w:val="28"/>
        </w:rPr>
        <w:t xml:space="preserve"> danske kroner«</w:t>
      </w:r>
      <w:r w:rsidRPr="00E65F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En dansk renteændring kan derfor anvendes til at stabilisere den danske krone over for euroen. En dansk </w:t>
      </w:r>
      <w:r w:rsidRPr="00E65F91">
        <w:rPr>
          <w:rFonts w:ascii="Times New Roman" w:hAnsi="Times New Roman" w:cs="Times New Roman"/>
          <w:sz w:val="28"/>
          <w:szCs w:val="28"/>
        </w:rPr>
        <w:t xml:space="preserve">rentestigning </w:t>
      </w:r>
      <w:r>
        <w:rPr>
          <w:rFonts w:ascii="Times New Roman" w:hAnsi="Times New Roman" w:cs="Times New Roman"/>
          <w:sz w:val="28"/>
          <w:szCs w:val="28"/>
        </w:rPr>
        <w:t>vil f.eks. medføre,</w:t>
      </w:r>
      <w:r w:rsidRPr="00E65F91">
        <w:rPr>
          <w:rFonts w:ascii="Times New Roman" w:hAnsi="Times New Roman" w:cs="Times New Roman"/>
          <w:sz w:val="28"/>
          <w:szCs w:val="28"/>
        </w:rPr>
        <w:t xml:space="preserve"> at flere ønsker at flytte kapital til Danmark. For at kunne gøre det</w:t>
      </w:r>
      <w:r>
        <w:rPr>
          <w:rFonts w:ascii="Times New Roman" w:hAnsi="Times New Roman" w:cs="Times New Roman"/>
          <w:sz w:val="28"/>
          <w:szCs w:val="28"/>
        </w:rPr>
        <w:t>te</w:t>
      </w:r>
      <w:r w:rsidRPr="00E65F91">
        <w:rPr>
          <w:rFonts w:ascii="Times New Roman" w:hAnsi="Times New Roman" w:cs="Times New Roman"/>
          <w:sz w:val="28"/>
          <w:szCs w:val="28"/>
        </w:rPr>
        <w:t xml:space="preserve">, skal </w:t>
      </w:r>
      <w:r>
        <w:rPr>
          <w:rFonts w:ascii="Times New Roman" w:hAnsi="Times New Roman" w:cs="Times New Roman"/>
          <w:sz w:val="28"/>
          <w:szCs w:val="28"/>
        </w:rPr>
        <w:t xml:space="preserve">der </w:t>
      </w:r>
      <w:r w:rsidRPr="00E65F91">
        <w:rPr>
          <w:rFonts w:ascii="Times New Roman" w:hAnsi="Times New Roman" w:cs="Times New Roman"/>
          <w:sz w:val="28"/>
          <w:szCs w:val="28"/>
        </w:rPr>
        <w:t>bruge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E65F91">
        <w:rPr>
          <w:rFonts w:ascii="Times New Roman" w:hAnsi="Times New Roman" w:cs="Times New Roman"/>
          <w:sz w:val="28"/>
          <w:szCs w:val="28"/>
        </w:rPr>
        <w:t xml:space="preserve"> danske kroner</w:t>
      </w:r>
      <w:r>
        <w:rPr>
          <w:rFonts w:ascii="Times New Roman" w:hAnsi="Times New Roman" w:cs="Times New Roman"/>
          <w:sz w:val="28"/>
          <w:szCs w:val="28"/>
        </w:rPr>
        <w:t xml:space="preserve">, og </w:t>
      </w:r>
      <w:r w:rsidRPr="00E65F91">
        <w:rPr>
          <w:rFonts w:ascii="Times New Roman" w:hAnsi="Times New Roman" w:cs="Times New Roman"/>
          <w:sz w:val="28"/>
          <w:szCs w:val="28"/>
        </w:rPr>
        <w:t>der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E65F91">
        <w:rPr>
          <w:rFonts w:ascii="Times New Roman" w:hAnsi="Times New Roman" w:cs="Times New Roman"/>
          <w:sz w:val="28"/>
          <w:szCs w:val="28"/>
        </w:rPr>
        <w:t xml:space="preserve">ed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eftersp</w:t>
      </w:r>
      <w:r>
        <w:rPr>
          <w:rFonts w:ascii="Times New Roman" w:hAnsi="Times New Roman" w:cs="Times New Roman"/>
          <w:sz w:val="28"/>
          <w:szCs w:val="28"/>
        </w:rPr>
        <w:t xml:space="preserve">ørgslen efter danske kroner stige, og kursen på danske kroner vil derfor ligeledes stige. </w:t>
      </w:r>
      <w:r w:rsidR="005F71D8">
        <w:rPr>
          <w:rFonts w:ascii="Times New Roman" w:hAnsi="Times New Roman" w:cs="Times New Roman"/>
          <w:sz w:val="28"/>
          <w:szCs w:val="28"/>
        </w:rPr>
        <w:t>En dansk rentenedsættelse vil naturligvis have den stik modsatte effekt.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Pr="00E65F91">
        <w:rPr>
          <w:rFonts w:ascii="Times New Roman" w:hAnsi="Times New Roman" w:cs="Times New Roman"/>
          <w:sz w:val="28"/>
          <w:szCs w:val="28"/>
        </w:rPr>
        <w:t>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Pr="00E65F91">
        <w:rPr>
          <w:rFonts w:ascii="Times New Roman" w:hAnsi="Times New Roman" w:cs="Times New Roman"/>
          <w:sz w:val="28"/>
          <w:szCs w:val="28"/>
        </w:rPr>
        <w:t xml:space="preserve">en situation med stabile valutakurser </w:t>
      </w:r>
      <w:r>
        <w:rPr>
          <w:rFonts w:ascii="Times New Roman" w:hAnsi="Times New Roman" w:cs="Times New Roman"/>
          <w:sz w:val="28"/>
          <w:szCs w:val="28"/>
        </w:rPr>
        <w:t xml:space="preserve">vil en renteændring i Danmark </w:t>
      </w:r>
      <w:r w:rsidRPr="00E65F91">
        <w:rPr>
          <w:rFonts w:ascii="Times New Roman" w:hAnsi="Times New Roman" w:cs="Times New Roman"/>
          <w:sz w:val="28"/>
          <w:szCs w:val="28"/>
        </w:rPr>
        <w:t xml:space="preserve">påvirke </w:t>
      </w:r>
      <w:r>
        <w:rPr>
          <w:rFonts w:ascii="Times New Roman" w:hAnsi="Times New Roman" w:cs="Times New Roman"/>
          <w:sz w:val="28"/>
          <w:szCs w:val="28"/>
        </w:rPr>
        <w:t>valuta</w:t>
      </w:r>
      <w:r w:rsidRPr="00E65F91">
        <w:rPr>
          <w:rFonts w:ascii="Times New Roman" w:hAnsi="Times New Roman" w:cs="Times New Roman"/>
          <w:sz w:val="28"/>
          <w:szCs w:val="28"/>
        </w:rPr>
        <w:t>kursdannelsen</w:t>
      </w:r>
      <w:r>
        <w:rPr>
          <w:rFonts w:ascii="Times New Roman" w:hAnsi="Times New Roman" w:cs="Times New Roman"/>
          <w:sz w:val="28"/>
          <w:szCs w:val="28"/>
        </w:rPr>
        <w:t xml:space="preserve">. Det kan føre til </w:t>
      </w:r>
      <w:r w:rsidRPr="00E65F91">
        <w:rPr>
          <w:rFonts w:ascii="Times New Roman" w:hAnsi="Times New Roman" w:cs="Times New Roman"/>
          <w:sz w:val="28"/>
          <w:szCs w:val="28"/>
        </w:rPr>
        <w:t xml:space="preserve">problemer med at overholde </w:t>
      </w:r>
      <w:r>
        <w:rPr>
          <w:rFonts w:ascii="Times New Roman" w:hAnsi="Times New Roman" w:cs="Times New Roman"/>
          <w:sz w:val="28"/>
          <w:szCs w:val="28"/>
        </w:rPr>
        <w:t xml:space="preserve">den såkaldte fastkursaftale med </w:t>
      </w:r>
      <w:r w:rsidRPr="00545EA3">
        <w:rPr>
          <w:rFonts w:ascii="Times New Roman" w:hAnsi="Times New Roman" w:cs="Times New Roman"/>
          <w:sz w:val="26"/>
          <w:szCs w:val="26"/>
        </w:rPr>
        <w:t>ECB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Man kan derfor hævde, at </w:t>
      </w:r>
      <w:r w:rsidRPr="00E65F91">
        <w:rPr>
          <w:rFonts w:ascii="Times New Roman" w:hAnsi="Times New Roman" w:cs="Times New Roman"/>
          <w:sz w:val="28"/>
          <w:szCs w:val="28"/>
        </w:rPr>
        <w:t>pengepolitik</w:t>
      </w:r>
      <w:r>
        <w:rPr>
          <w:rFonts w:ascii="Times New Roman" w:hAnsi="Times New Roman" w:cs="Times New Roman"/>
          <w:sz w:val="28"/>
          <w:szCs w:val="28"/>
        </w:rPr>
        <w:t>ken som udgangspunkt</w:t>
      </w:r>
      <w:r w:rsidRPr="00E65F91">
        <w:rPr>
          <w:rFonts w:ascii="Times New Roman" w:hAnsi="Times New Roman" w:cs="Times New Roman"/>
          <w:sz w:val="28"/>
          <w:szCs w:val="28"/>
        </w:rPr>
        <w:t xml:space="preserve"> bruges til at justere valutakurserne. Inflationsbekæmpelse må </w:t>
      </w:r>
      <w:r>
        <w:rPr>
          <w:rFonts w:ascii="Times New Roman" w:hAnsi="Times New Roman" w:cs="Times New Roman"/>
          <w:sz w:val="28"/>
          <w:szCs w:val="28"/>
        </w:rPr>
        <w:t xml:space="preserve">i højere grad foregå </w:t>
      </w:r>
      <w:r w:rsidRPr="00E65F91">
        <w:rPr>
          <w:rFonts w:ascii="Times New Roman" w:hAnsi="Times New Roman" w:cs="Times New Roman"/>
          <w:sz w:val="28"/>
          <w:szCs w:val="28"/>
        </w:rPr>
        <w:t xml:space="preserve">på initiativ af </w:t>
      </w:r>
      <w:r w:rsidRPr="00545EA3">
        <w:rPr>
          <w:rFonts w:ascii="Times New Roman" w:hAnsi="Times New Roman" w:cs="Times New Roman"/>
          <w:sz w:val="26"/>
          <w:szCs w:val="26"/>
        </w:rPr>
        <w:t>ECB</w:t>
      </w:r>
      <w:r w:rsidRPr="00E65F91">
        <w:rPr>
          <w:rFonts w:ascii="Times New Roman" w:hAnsi="Times New Roman" w:cs="Times New Roman"/>
          <w:sz w:val="28"/>
          <w:szCs w:val="28"/>
        </w:rPr>
        <w:t>.</w:t>
      </w:r>
    </w:p>
    <w:p w:rsidR="00843F49" w:rsidRPr="00E65F91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Familien Nielsen bør</w:t>
      </w:r>
      <w:r w:rsidR="0069217C">
        <w:rPr>
          <w:rFonts w:ascii="Times New Roman" w:hAnsi="Times New Roman" w:cs="Times New Roman"/>
          <w:sz w:val="28"/>
          <w:szCs w:val="28"/>
        </w:rPr>
        <w:t xml:space="preserve"> overveje at</w:t>
      </w:r>
      <w:r>
        <w:rPr>
          <w:rFonts w:ascii="Times New Roman" w:hAnsi="Times New Roman" w:cs="Times New Roman"/>
          <w:sz w:val="28"/>
          <w:szCs w:val="28"/>
        </w:rPr>
        <w:t xml:space="preserve"> udskifte deres variabelt forrentede lån med et </w:t>
      </w:r>
      <w:r w:rsidRPr="00E65F91">
        <w:rPr>
          <w:rFonts w:ascii="Times New Roman" w:hAnsi="Times New Roman" w:cs="Times New Roman"/>
          <w:sz w:val="28"/>
          <w:szCs w:val="28"/>
        </w:rPr>
        <w:t>fastforrentet lån</w:t>
      </w:r>
      <w:r>
        <w:rPr>
          <w:rFonts w:ascii="Times New Roman" w:hAnsi="Times New Roman" w:cs="Times New Roman"/>
          <w:sz w:val="28"/>
          <w:szCs w:val="28"/>
        </w:rPr>
        <w:t xml:space="preserve">. Det vil sikre </w:t>
      </w:r>
      <w:r w:rsidR="0069217C">
        <w:rPr>
          <w:rFonts w:ascii="Times New Roman" w:hAnsi="Times New Roman" w:cs="Times New Roman"/>
          <w:sz w:val="28"/>
          <w:szCs w:val="28"/>
        </w:rPr>
        <w:t>familien mod en stigende rente. (Niveau B: D</w:t>
      </w:r>
      <w:r>
        <w:rPr>
          <w:rFonts w:ascii="Times New Roman" w:hAnsi="Times New Roman" w:cs="Times New Roman"/>
          <w:sz w:val="28"/>
          <w:szCs w:val="28"/>
        </w:rPr>
        <w:t xml:space="preserve">et vil </w:t>
      </w:r>
      <w:r w:rsidR="0069217C">
        <w:rPr>
          <w:rFonts w:ascii="Times New Roman" w:hAnsi="Times New Roman" w:cs="Times New Roman"/>
          <w:sz w:val="28"/>
          <w:szCs w:val="28"/>
        </w:rPr>
        <w:t xml:space="preserve">også </w:t>
      </w:r>
      <w:r>
        <w:rPr>
          <w:rFonts w:ascii="Times New Roman" w:hAnsi="Times New Roman" w:cs="Times New Roman"/>
          <w:sz w:val="28"/>
          <w:szCs w:val="28"/>
        </w:rPr>
        <w:t>gøre det muligt for familien på et senere tidspunkt at foretage en konvertering op, således at de kan få lånets restgæld nedbragt.</w:t>
      </w:r>
      <w:r w:rsidR="0069217C">
        <w:rPr>
          <w:rFonts w:ascii="Times New Roman" w:hAnsi="Times New Roman" w:cs="Times New Roman"/>
          <w:sz w:val="28"/>
          <w:szCs w:val="28"/>
        </w:rPr>
        <w:t>)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.6</w:t>
      </w:r>
    </w:p>
    <w:p w:rsidR="00843F49" w:rsidRPr="00E65F91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i/>
          <w:sz w:val="28"/>
          <w:szCs w:val="28"/>
        </w:rPr>
        <w:t xml:space="preserve">Forhold, der </w:t>
      </w:r>
      <w:r>
        <w:rPr>
          <w:rFonts w:ascii="Times New Roman" w:hAnsi="Times New Roman" w:cs="Times New Roman"/>
          <w:i/>
          <w:sz w:val="28"/>
          <w:szCs w:val="28"/>
        </w:rPr>
        <w:t xml:space="preserve">kan tænkes at </w:t>
      </w:r>
      <w:r w:rsidRPr="00DD70F7">
        <w:rPr>
          <w:rFonts w:ascii="Times New Roman" w:hAnsi="Times New Roman" w:cs="Times New Roman"/>
          <w:i/>
          <w:sz w:val="28"/>
          <w:szCs w:val="28"/>
        </w:rPr>
        <w:t>påvirke renteniveauet i Euro-zonen og i Danmark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F49" w:rsidRPr="00E65F91" w:rsidRDefault="00843F49" w:rsidP="00843F4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E65F91">
        <w:rPr>
          <w:rFonts w:ascii="Times New Roman" w:hAnsi="Times New Roman" w:cs="Times New Roman"/>
          <w:sz w:val="28"/>
          <w:szCs w:val="28"/>
        </w:rPr>
        <w:t>øj tysk vækst</w:t>
      </w:r>
    </w:p>
    <w:p w:rsidR="00843F49" w:rsidRPr="00E65F91" w:rsidRDefault="00843F49" w:rsidP="00843F4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Pr="00E65F91">
        <w:rPr>
          <w:rFonts w:ascii="Times New Roman" w:hAnsi="Times New Roman" w:cs="Times New Roman"/>
          <w:sz w:val="28"/>
          <w:szCs w:val="28"/>
        </w:rPr>
        <w:t>øj tysk erhvervstillid til fremtiden</w:t>
      </w:r>
    </w:p>
    <w:p w:rsidR="00843F49" w:rsidRDefault="00843F49" w:rsidP="00843F49">
      <w:pPr>
        <w:numPr>
          <w:ilvl w:val="0"/>
          <w:numId w:val="1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</w:t>
      </w:r>
      <w:r w:rsidRPr="00E65F91">
        <w:rPr>
          <w:rFonts w:ascii="Times New Roman" w:hAnsi="Times New Roman" w:cs="Times New Roman"/>
          <w:sz w:val="28"/>
          <w:szCs w:val="28"/>
        </w:rPr>
        <w:t>orbedrede tyske st</w:t>
      </w:r>
      <w:r>
        <w:rPr>
          <w:rFonts w:ascii="Times New Roman" w:hAnsi="Times New Roman" w:cs="Times New Roman"/>
          <w:sz w:val="28"/>
          <w:szCs w:val="28"/>
        </w:rPr>
        <w:t>atsfinanser, der form</w:t>
      </w:r>
      <w:r w:rsidRPr="00E65F91">
        <w:rPr>
          <w:rFonts w:ascii="Times New Roman" w:hAnsi="Times New Roman" w:cs="Times New Roman"/>
          <w:sz w:val="28"/>
          <w:szCs w:val="28"/>
        </w:rPr>
        <w:t>indsker risiko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E65F91">
        <w:rPr>
          <w:rFonts w:ascii="Times New Roman" w:hAnsi="Times New Roman" w:cs="Times New Roman"/>
          <w:sz w:val="28"/>
          <w:szCs w:val="28"/>
        </w:rPr>
        <w:t xml:space="preserve"> for vækst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65F91">
        <w:rPr>
          <w:rFonts w:ascii="Times New Roman" w:hAnsi="Times New Roman" w:cs="Times New Roman"/>
          <w:sz w:val="28"/>
          <w:szCs w:val="28"/>
        </w:rPr>
        <w:t>hæmmen</w:t>
      </w:r>
      <w:r>
        <w:rPr>
          <w:rFonts w:ascii="Times New Roman" w:hAnsi="Times New Roman" w:cs="Times New Roman"/>
          <w:sz w:val="28"/>
          <w:szCs w:val="28"/>
        </w:rPr>
        <w:t xml:space="preserve">de </w:t>
      </w:r>
      <w:r w:rsidRPr="00E65F91">
        <w:rPr>
          <w:rFonts w:ascii="Times New Roman" w:hAnsi="Times New Roman" w:cs="Times New Roman"/>
          <w:sz w:val="28"/>
          <w:szCs w:val="28"/>
        </w:rPr>
        <w:t>besparelser og/</w:t>
      </w:r>
      <w:r>
        <w:rPr>
          <w:rFonts w:ascii="Times New Roman" w:hAnsi="Times New Roman" w:cs="Times New Roman"/>
          <w:sz w:val="28"/>
          <w:szCs w:val="28"/>
        </w:rPr>
        <w:t>eller skattestigninger.</w:t>
      </w:r>
    </w:p>
    <w:p w:rsidR="00843F49" w:rsidRPr="00E65F91" w:rsidRDefault="00843F49" w:rsidP="00843F4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 og C.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Samtlige foranstående forhold </w:t>
      </w:r>
      <w:r w:rsidRPr="00E65F91">
        <w:rPr>
          <w:rFonts w:ascii="Times New Roman" w:hAnsi="Times New Roman" w:cs="Times New Roman"/>
          <w:sz w:val="28"/>
          <w:szCs w:val="28"/>
        </w:rPr>
        <w:t xml:space="preserve">peger alle i retning af </w:t>
      </w:r>
      <w:r>
        <w:rPr>
          <w:rFonts w:ascii="Times New Roman" w:hAnsi="Times New Roman" w:cs="Times New Roman"/>
          <w:sz w:val="28"/>
          <w:szCs w:val="28"/>
        </w:rPr>
        <w:t xml:space="preserve">en stigende rente. En </w:t>
      </w:r>
      <w:r w:rsidRPr="00E65F91">
        <w:rPr>
          <w:rFonts w:ascii="Times New Roman" w:hAnsi="Times New Roman" w:cs="Times New Roman"/>
          <w:sz w:val="28"/>
          <w:szCs w:val="28"/>
        </w:rPr>
        <w:t xml:space="preserve">stigende vækst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i sig selv øge inflationspresset</w:t>
      </w:r>
      <w:r>
        <w:rPr>
          <w:rFonts w:ascii="Times New Roman" w:hAnsi="Times New Roman" w:cs="Times New Roman"/>
          <w:sz w:val="28"/>
          <w:szCs w:val="28"/>
        </w:rPr>
        <w:t xml:space="preserve"> samtidig med</w:t>
      </w:r>
      <w:r w:rsidRPr="00E65F9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at </w:t>
      </w:r>
      <w:r w:rsidRPr="00E65F91">
        <w:rPr>
          <w:rFonts w:ascii="Times New Roman" w:hAnsi="Times New Roman" w:cs="Times New Roman"/>
          <w:sz w:val="28"/>
          <w:szCs w:val="28"/>
        </w:rPr>
        <w:t xml:space="preserve">behovet for at stimulere væksten med en lav rente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Pr="00E65F91">
        <w:rPr>
          <w:rFonts w:ascii="Times New Roman" w:hAnsi="Times New Roman" w:cs="Times New Roman"/>
          <w:sz w:val="28"/>
          <w:szCs w:val="28"/>
        </w:rPr>
        <w:t>aftagende.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er ikke noget øjeblikkeligt behov for en låneomlægning. Det nuværende fastforrentede lån </w:t>
      </w:r>
      <w:r w:rsidRPr="00E65F91">
        <w:rPr>
          <w:rFonts w:ascii="Times New Roman" w:hAnsi="Times New Roman" w:cs="Times New Roman"/>
          <w:sz w:val="28"/>
          <w:szCs w:val="28"/>
        </w:rPr>
        <w:t>passer perfekt</w:t>
      </w:r>
      <w:r>
        <w:rPr>
          <w:rFonts w:ascii="Times New Roman" w:hAnsi="Times New Roman" w:cs="Times New Roman"/>
          <w:sz w:val="28"/>
          <w:szCs w:val="28"/>
        </w:rPr>
        <w:t xml:space="preserve"> til den økonomiske situation. 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Man har </w:t>
      </w:r>
      <w:r w:rsidR="0069217C">
        <w:rPr>
          <w:rFonts w:ascii="Times New Roman" w:hAnsi="Times New Roman" w:cs="Times New Roman"/>
          <w:sz w:val="28"/>
          <w:szCs w:val="28"/>
        </w:rPr>
        <w:t xml:space="preserve">dermed sikret sig en uændret / </w:t>
      </w:r>
      <w:r>
        <w:rPr>
          <w:rFonts w:ascii="Times New Roman" w:hAnsi="Times New Roman" w:cs="Times New Roman"/>
          <w:sz w:val="28"/>
          <w:szCs w:val="28"/>
        </w:rPr>
        <w:t xml:space="preserve">»lav« </w:t>
      </w:r>
      <w:r w:rsidRPr="00E65F91">
        <w:rPr>
          <w:rFonts w:ascii="Times New Roman" w:hAnsi="Times New Roman" w:cs="Times New Roman"/>
          <w:sz w:val="28"/>
          <w:szCs w:val="28"/>
        </w:rPr>
        <w:t>rente</w:t>
      </w:r>
      <w:r w:rsidR="006921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217C">
        <w:rPr>
          <w:rFonts w:ascii="Times New Roman" w:hAnsi="Times New Roman" w:cs="Times New Roman"/>
          <w:sz w:val="28"/>
          <w:szCs w:val="28"/>
        </w:rPr>
        <w:t>(Niveau B: D</w:t>
      </w:r>
      <w:r>
        <w:rPr>
          <w:rFonts w:ascii="Times New Roman" w:hAnsi="Times New Roman" w:cs="Times New Roman"/>
          <w:sz w:val="28"/>
          <w:szCs w:val="28"/>
        </w:rPr>
        <w:t>et kan senere blive aktuelt at foretage en konvertering op, hvorved lånets restgæld kan blive nedbragt.</w:t>
      </w:r>
      <w:r w:rsidR="0069217C">
        <w:rPr>
          <w:rFonts w:ascii="Times New Roman" w:hAnsi="Times New Roman" w:cs="Times New Roman"/>
          <w:sz w:val="28"/>
          <w:szCs w:val="28"/>
        </w:rPr>
        <w:t>)</w:t>
      </w:r>
    </w:p>
    <w:p w:rsidR="00843F49" w:rsidRPr="00E65F91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.7</w:t>
      </w:r>
    </w:p>
    <w:p w:rsidR="00843F49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i/>
          <w:sz w:val="28"/>
          <w:szCs w:val="28"/>
        </w:rPr>
        <w:t xml:space="preserve">Forhold, der </w:t>
      </w:r>
      <w:r>
        <w:rPr>
          <w:rFonts w:ascii="Times New Roman" w:hAnsi="Times New Roman" w:cs="Times New Roman"/>
          <w:i/>
          <w:sz w:val="28"/>
          <w:szCs w:val="28"/>
        </w:rPr>
        <w:t xml:space="preserve">kan tænkes at </w:t>
      </w:r>
      <w:r w:rsidRPr="00DD70F7">
        <w:rPr>
          <w:rFonts w:ascii="Times New Roman" w:hAnsi="Times New Roman" w:cs="Times New Roman"/>
          <w:i/>
          <w:sz w:val="28"/>
          <w:szCs w:val="28"/>
        </w:rPr>
        <w:t>påvirke renteniveauet i Euro-zonen og i Danmark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F49" w:rsidRPr="00E65F91" w:rsidRDefault="00400D7A" w:rsidP="00843F4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et vist </w:t>
      </w:r>
      <w:r w:rsidR="00843F49">
        <w:rPr>
          <w:rFonts w:ascii="Times New Roman" w:hAnsi="Times New Roman" w:cs="Times New Roman"/>
          <w:sz w:val="28"/>
          <w:szCs w:val="28"/>
        </w:rPr>
        <w:t>ø</w:t>
      </w:r>
      <w:r w:rsidR="00843F49" w:rsidRPr="00E65F91">
        <w:rPr>
          <w:rFonts w:ascii="Times New Roman" w:hAnsi="Times New Roman" w:cs="Times New Roman"/>
          <w:sz w:val="28"/>
          <w:szCs w:val="28"/>
        </w:rPr>
        <w:t>konomisk opsving i Europa generelt</w:t>
      </w:r>
    </w:p>
    <w:p w:rsidR="00843F49" w:rsidRDefault="00400D7A" w:rsidP="00843F4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</w:t>
      </w:r>
      <w:r w:rsidR="00843F49">
        <w:rPr>
          <w:rFonts w:ascii="Times New Roman" w:hAnsi="Times New Roman" w:cs="Times New Roman"/>
          <w:sz w:val="28"/>
          <w:szCs w:val="28"/>
        </w:rPr>
        <w:t>øj</w:t>
      </w:r>
      <w:r>
        <w:rPr>
          <w:rFonts w:ascii="Times New Roman" w:hAnsi="Times New Roman" w:cs="Times New Roman"/>
          <w:sz w:val="28"/>
          <w:szCs w:val="28"/>
        </w:rPr>
        <w:t>t</w:t>
      </w:r>
      <w:r w:rsidR="00843F49">
        <w:rPr>
          <w:rFonts w:ascii="Times New Roman" w:hAnsi="Times New Roman" w:cs="Times New Roman"/>
          <w:sz w:val="28"/>
          <w:szCs w:val="28"/>
        </w:rPr>
        <w:t xml:space="preserve"> ø</w:t>
      </w:r>
      <w:r w:rsidR="00843F49" w:rsidRPr="00E65F91">
        <w:rPr>
          <w:rFonts w:ascii="Times New Roman" w:hAnsi="Times New Roman" w:cs="Times New Roman"/>
          <w:sz w:val="28"/>
          <w:szCs w:val="28"/>
        </w:rPr>
        <w:t>konomisk opsving i</w:t>
      </w:r>
      <w:r w:rsidR="00843F49">
        <w:rPr>
          <w:rFonts w:ascii="Times New Roman" w:hAnsi="Times New Roman" w:cs="Times New Roman"/>
          <w:sz w:val="28"/>
          <w:szCs w:val="28"/>
        </w:rPr>
        <w:t>nden for</w:t>
      </w:r>
      <w:r w:rsidR="00843F49" w:rsidRPr="00E65F91">
        <w:rPr>
          <w:rFonts w:ascii="Times New Roman" w:hAnsi="Times New Roman" w:cs="Times New Roman"/>
          <w:sz w:val="28"/>
          <w:szCs w:val="28"/>
        </w:rPr>
        <w:t xml:space="preserve"> Euro-zonen</w:t>
      </w:r>
    </w:p>
    <w:p w:rsidR="00843F49" w:rsidRPr="00E65F91" w:rsidRDefault="00843F49" w:rsidP="00843F49">
      <w:pPr>
        <w:numPr>
          <w:ilvl w:val="0"/>
          <w:numId w:val="2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Pr="00E65F91">
        <w:rPr>
          <w:rFonts w:ascii="Times New Roman" w:hAnsi="Times New Roman" w:cs="Times New Roman"/>
          <w:sz w:val="28"/>
          <w:szCs w:val="28"/>
        </w:rPr>
        <w:t>aldende økonomisk vækst i USA</w:t>
      </w:r>
    </w:p>
    <w:p w:rsidR="00843F49" w:rsidRPr="00E65F91" w:rsidRDefault="00843F49" w:rsidP="00400D7A">
      <w:pPr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E65F91">
        <w:rPr>
          <w:rFonts w:ascii="Times New Roman" w:hAnsi="Times New Roman" w:cs="Times New Roman"/>
          <w:sz w:val="28"/>
          <w:szCs w:val="28"/>
        </w:rPr>
        <w:t xml:space="preserve">æksten i Euro-zonen </w:t>
      </w:r>
      <w:r>
        <w:rPr>
          <w:rFonts w:ascii="Times New Roman" w:hAnsi="Times New Roman" w:cs="Times New Roman"/>
          <w:sz w:val="28"/>
          <w:szCs w:val="28"/>
        </w:rPr>
        <w:t xml:space="preserve">er </w:t>
      </w:r>
      <w:r w:rsidRPr="00E65F91">
        <w:rPr>
          <w:rFonts w:ascii="Times New Roman" w:hAnsi="Times New Roman" w:cs="Times New Roman"/>
          <w:sz w:val="28"/>
          <w:szCs w:val="28"/>
        </w:rPr>
        <w:t>på vej op. Det vil alt andet lige få inflationspresset til at stige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</w:t>
      </w:r>
      <w:r>
        <w:rPr>
          <w:rFonts w:ascii="Times New Roman" w:hAnsi="Times New Roman" w:cs="Times New Roman"/>
          <w:sz w:val="28"/>
          <w:szCs w:val="28"/>
        </w:rPr>
        <w:t>man</w:t>
      </w:r>
      <w:r w:rsidRPr="00E65F91">
        <w:rPr>
          <w:rFonts w:ascii="Times New Roman" w:hAnsi="Times New Roman" w:cs="Times New Roman"/>
          <w:sz w:val="28"/>
          <w:szCs w:val="28"/>
        </w:rPr>
        <w:t xml:space="preserve"> må derfor forvente</w:t>
      </w:r>
      <w:r>
        <w:rPr>
          <w:rFonts w:ascii="Times New Roman" w:hAnsi="Times New Roman" w:cs="Times New Roman"/>
          <w:sz w:val="28"/>
          <w:szCs w:val="28"/>
        </w:rPr>
        <w:t xml:space="preserve">, at </w:t>
      </w:r>
      <w:r w:rsidRPr="0001530F">
        <w:rPr>
          <w:rFonts w:ascii="Times New Roman" w:hAnsi="Times New Roman" w:cs="Times New Roman"/>
          <w:sz w:val="26"/>
          <w:szCs w:val="26"/>
        </w:rPr>
        <w:t>ECB</w:t>
      </w:r>
      <w:r>
        <w:rPr>
          <w:rFonts w:ascii="Times New Roman" w:hAnsi="Times New Roman" w:cs="Times New Roman"/>
          <w:sz w:val="28"/>
          <w:szCs w:val="28"/>
        </w:rPr>
        <w:t xml:space="preserve"> sætter </w:t>
      </w:r>
      <w:r w:rsidRPr="00E65F91">
        <w:rPr>
          <w:rFonts w:ascii="Times New Roman" w:hAnsi="Times New Roman" w:cs="Times New Roman"/>
          <w:sz w:val="28"/>
          <w:szCs w:val="28"/>
        </w:rPr>
        <w:t>rente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op. Det vil sandsynligvis f</w:t>
      </w:r>
      <w:r w:rsidRPr="00E65F91">
        <w:rPr>
          <w:rFonts w:ascii="Times New Roman" w:hAnsi="Times New Roman" w:cs="Times New Roman"/>
          <w:sz w:val="28"/>
          <w:szCs w:val="28"/>
        </w:rPr>
        <w:t xml:space="preserve">å den danske rente til at stige </w:t>
      </w:r>
      <w:r w:rsidR="00400D7A">
        <w:rPr>
          <w:rFonts w:ascii="Times New Roman" w:hAnsi="Times New Roman" w:cs="Times New Roman"/>
          <w:sz w:val="28"/>
          <w:szCs w:val="28"/>
        </w:rPr>
        <w:t>tilsvarende, bl.a. grundet hensynet til en stabil valutakurs indenfor ERM II.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D82A49">
        <w:rPr>
          <w:rFonts w:ascii="Times New Roman" w:hAnsi="Times New Roman" w:cs="Times New Roman"/>
          <w:sz w:val="26"/>
          <w:szCs w:val="26"/>
        </w:rPr>
        <w:lastRenderedPageBreak/>
        <w:t>USA</w:t>
      </w:r>
      <w:r w:rsidRPr="00E65F91">
        <w:rPr>
          <w:rFonts w:ascii="Times New Roman" w:hAnsi="Times New Roman" w:cs="Times New Roman"/>
          <w:sz w:val="28"/>
          <w:szCs w:val="28"/>
        </w:rPr>
        <w:t xml:space="preserve"> er øjensynligt i slutningen af en større vækstperiode. 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65F91">
        <w:rPr>
          <w:rFonts w:ascii="Times New Roman" w:hAnsi="Times New Roman" w:cs="Times New Roman"/>
          <w:sz w:val="28"/>
          <w:szCs w:val="28"/>
        </w:rPr>
        <w:t xml:space="preserve">enten </w:t>
      </w:r>
      <w:r>
        <w:rPr>
          <w:rFonts w:ascii="Times New Roman" w:hAnsi="Times New Roman" w:cs="Times New Roman"/>
          <w:sz w:val="28"/>
          <w:szCs w:val="28"/>
        </w:rPr>
        <w:t xml:space="preserve">er derfor </w:t>
      </w:r>
      <w:r w:rsidRPr="00E65F91">
        <w:rPr>
          <w:rFonts w:ascii="Times New Roman" w:hAnsi="Times New Roman" w:cs="Times New Roman"/>
          <w:sz w:val="28"/>
          <w:szCs w:val="28"/>
        </w:rPr>
        <w:t>allerede hævet en del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spørgsmålet er derfor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om renten skal endnu et nøk opad, eller om toppen er nået. Uanset hvad er påvirkningen fra den anden side af Atlanten nok ved at ebbe ud.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Der må overordnet </w:t>
      </w:r>
      <w:r w:rsidRPr="00E65F91">
        <w:rPr>
          <w:rFonts w:ascii="Times New Roman" w:hAnsi="Times New Roman" w:cs="Times New Roman"/>
          <w:sz w:val="28"/>
          <w:szCs w:val="28"/>
        </w:rPr>
        <w:t xml:space="preserve">set </w:t>
      </w:r>
      <w:r>
        <w:rPr>
          <w:rFonts w:ascii="Times New Roman" w:hAnsi="Times New Roman" w:cs="Times New Roman"/>
          <w:sz w:val="28"/>
          <w:szCs w:val="28"/>
        </w:rPr>
        <w:t>være tale om et opadgående renteniveau inden for Euro-zonen og i Danmark.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Fastforrentet lån</w:t>
      </w:r>
      <w:r w:rsidRPr="00E65F91">
        <w:rPr>
          <w:rFonts w:ascii="Times New Roman" w:hAnsi="Times New Roman" w:cs="Times New Roman"/>
          <w:sz w:val="28"/>
          <w:szCs w:val="28"/>
        </w:rPr>
        <w:t>: Ingen påvirkning af ydelse</w:t>
      </w:r>
      <w:r>
        <w:rPr>
          <w:rFonts w:ascii="Times New Roman" w:hAnsi="Times New Roman" w:cs="Times New Roman"/>
          <w:sz w:val="28"/>
          <w:szCs w:val="28"/>
        </w:rPr>
        <w:t xml:space="preserve">, idet både </w:t>
      </w:r>
      <w:r w:rsidRPr="00E65F91">
        <w:rPr>
          <w:rFonts w:ascii="Times New Roman" w:hAnsi="Times New Roman" w:cs="Times New Roman"/>
          <w:sz w:val="28"/>
          <w:szCs w:val="28"/>
        </w:rPr>
        <w:t>rente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afdrag er uforand</w:t>
      </w:r>
      <w:r>
        <w:rPr>
          <w:rFonts w:ascii="Times New Roman" w:hAnsi="Times New Roman" w:cs="Times New Roman"/>
          <w:sz w:val="28"/>
          <w:szCs w:val="28"/>
        </w:rPr>
        <w:t>rede.</w:t>
      </w:r>
      <w:r w:rsidR="0040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Variabelt forrentet lån</w:t>
      </w:r>
      <w:r w:rsidRPr="00E65F91">
        <w:rPr>
          <w:rFonts w:ascii="Times New Roman" w:hAnsi="Times New Roman" w:cs="Times New Roman"/>
          <w:sz w:val="28"/>
          <w:szCs w:val="28"/>
        </w:rPr>
        <w:t xml:space="preserve">: Renten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stige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dermed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ydelsen</w:t>
      </w:r>
      <w:r>
        <w:rPr>
          <w:rFonts w:ascii="Times New Roman" w:hAnsi="Times New Roman" w:cs="Times New Roman"/>
          <w:sz w:val="28"/>
          <w:szCs w:val="28"/>
        </w:rPr>
        <w:t xml:space="preserve"> stige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  <w:r w:rsidR="00400D7A">
        <w:rPr>
          <w:rFonts w:ascii="Times New Roman" w:hAnsi="Times New Roman" w:cs="Times New Roman"/>
          <w:sz w:val="28"/>
          <w:szCs w:val="28"/>
        </w:rPr>
        <w:t>Omlægning til fastforrentet lån bør overvejes hvis det vurderes, at rentestigningen bliver relativt stor.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400D7A" w:rsidRDefault="00400D7A" w:rsidP="00843F4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400D7A">
        <w:rPr>
          <w:rFonts w:ascii="Times New Roman" w:hAnsi="Times New Roman" w:cs="Times New Roman"/>
          <w:i/>
          <w:sz w:val="28"/>
          <w:szCs w:val="28"/>
        </w:rPr>
        <w:t>Niveau B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Fastforrentet lån</w:t>
      </w:r>
      <w:r w:rsidRPr="00E65F91">
        <w:rPr>
          <w:rFonts w:ascii="Times New Roman" w:hAnsi="Times New Roman" w:cs="Times New Roman"/>
          <w:sz w:val="28"/>
          <w:szCs w:val="28"/>
        </w:rPr>
        <w:t xml:space="preserve">: Faldende kurser </w:t>
      </w:r>
      <w:r>
        <w:rPr>
          <w:rFonts w:ascii="Times New Roman" w:hAnsi="Times New Roman" w:cs="Times New Roman"/>
          <w:sz w:val="28"/>
          <w:szCs w:val="28"/>
        </w:rPr>
        <w:t>kan føre til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faldende restgæld, hvis der foretages en konvertering op.</w:t>
      </w:r>
      <w:r w:rsidR="00400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Variabelt forrentet lån</w:t>
      </w:r>
      <w:r w:rsidRPr="00E65F91">
        <w:rPr>
          <w:rFonts w:ascii="Times New Roman" w:hAnsi="Times New Roman" w:cs="Times New Roman"/>
          <w:sz w:val="28"/>
          <w:szCs w:val="28"/>
        </w:rPr>
        <w:t>: Ingen ændring i restgæld.</w:t>
      </w:r>
      <w:r w:rsidR="00400D7A">
        <w:rPr>
          <w:rFonts w:ascii="Times New Roman" w:hAnsi="Times New Roman" w:cs="Times New Roman"/>
          <w:sz w:val="28"/>
          <w:szCs w:val="28"/>
        </w:rPr>
        <w:t xml:space="preserve"> Den stigende ydelse og den manglende mulighed for at tjene på konvertering bør bringe et fastforrentet lån ind i overvejelserne.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4342BB" w:rsidP="00843F49">
      <w:pPr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sz w:val="28"/>
          <w:szCs w:val="28"/>
        </w:rPr>
        <w:t>.8</w:t>
      </w:r>
    </w:p>
    <w:p w:rsidR="00FB51DE" w:rsidRPr="00E953A3" w:rsidRDefault="00FB51DE" w:rsidP="00FB51D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6300"/>
        <w:gridCol w:w="1440"/>
        <w:gridCol w:w="1411"/>
      </w:tblGrid>
      <w:tr w:rsidR="00FB51DE" w:rsidRPr="001062F6" w:rsidTr="00644A44">
        <w:tc>
          <w:tcPr>
            <w:tcW w:w="6948" w:type="dxa"/>
            <w:gridSpan w:val="2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Udsagn</w:t>
            </w:r>
          </w:p>
        </w:tc>
        <w:tc>
          <w:tcPr>
            <w:tcW w:w="1440" w:type="dxa"/>
            <w:shd w:val="clear" w:color="auto" w:fill="D9D9D9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Rigtigt</w:t>
            </w:r>
          </w:p>
        </w:tc>
        <w:tc>
          <w:tcPr>
            <w:tcW w:w="1411" w:type="dxa"/>
            <w:shd w:val="clear" w:color="auto" w:fill="D9D9D9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Forkert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Den danske regering kan bekæmpe inflationstendenser i Danmark ved at stramme finanspolitikken gennem en øget skatteopkrævning.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Nationalbanken kan bekæmpe inflationstendenser i Danmark ved at gennemføre foranstaltninger, der nedsætter det danske renteniveau.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3.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Hvis renteniveauet i Danmark stiger, vil det være en fordel for en dansk husejer, hvis vedkommende har et rentetilpasningslån i stedet for et obligationslån.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4.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Den såkaldte efterspørgselsinflation opstår, hvis efterspørgslen efter varer og serviceydelser stiger stærkere end udbuddet af varer og serviceydelser.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5.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Den såkaldte omkostningsinflation opstår, hvis virksomhederne gennemfører sparerunder for at reducere deres omkostninger.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6.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Den såkaldte importerede inflation opstår, hvis inflationstendenser i udlandet breder sig til Danmark.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7.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 xml:space="preserve">Den Danske Nationalbank har indgået en fastkursaftale med </w:t>
            </w:r>
            <w:r w:rsidRPr="00130E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Den Europæiske Centralbank, der indebærer, at man til enhver tid skal betale </w:t>
            </w:r>
            <w:r w:rsidR="00400D7A">
              <w:rPr>
                <w:rFonts w:ascii="Times New Roman" w:hAnsi="Times New Roman" w:cs="Times New Roman"/>
                <w:sz w:val="24"/>
                <w:szCs w:val="24"/>
              </w:rPr>
              <w:t xml:space="preserve">cirka </w:t>
            </w: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14 euro for 100 danske kroner.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Hvis Den Danske Nationalbank eller Den Europæiske Centralbank foretager støtteopkøb af danske kroner, vil kursen på den danske krone stige.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9.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Hvis Nationalbanken forhøjer den danske rente, vil efterspørgslen efter danske kroner stige, og kursen på danske kroner vil dermed stige.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10.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I en normalsituation vil den såkaldte korte rente være højere end den såkaldte lange rente.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11.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Renteudviklingen inden for Euro-zonen har stor betydning for renteniveauet i Danmark.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12.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130E6F">
              <w:rPr>
                <w:rFonts w:ascii="Times New Roman" w:hAnsi="Times New Roman" w:cs="Times New Roman"/>
                <w:sz w:val="24"/>
                <w:szCs w:val="24"/>
              </w:rPr>
              <w:t>Renten i USA har ingen betydning for det danske renteniveau, idet Danmark endnu ikke er med i euroen.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13.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 har gennem pengepolitikken mulighed for selvstændigt at bekæmpe inflation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14.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 har gennem pengepolitikken mulighed for selvstændigt at bekæmpe en svækkelse af kronen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 w:rsidRPr="001062F6">
              <w:rPr>
                <w:sz w:val="24"/>
                <w:szCs w:val="24"/>
              </w:rPr>
              <w:t>15.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reelt i dag ECB der styrer pengepolitikken i Danmark.</w:t>
            </w:r>
          </w:p>
        </w:tc>
        <w:tc>
          <w:tcPr>
            <w:tcW w:w="1440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 er reelt ECB der styrer inflationsbekæmpelsen – også i Danmark.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Pr="001062F6" w:rsidRDefault="00FB51DE" w:rsidP="0064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Danmarks tilslutning til ERM II har betydet en begrænsning i nationalbankens brug af pengepolitikken.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  <w:tr w:rsidR="00FB51DE" w:rsidRPr="001062F6" w:rsidTr="00644A44">
        <w:tc>
          <w:tcPr>
            <w:tcW w:w="648" w:type="dxa"/>
            <w:shd w:val="clear" w:color="auto" w:fill="D9D9D9"/>
          </w:tcPr>
          <w:p w:rsidR="00FB51DE" w:rsidRDefault="00FB51DE" w:rsidP="00644A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300" w:type="dxa"/>
          </w:tcPr>
          <w:p w:rsidR="00FB51DE" w:rsidRPr="00FF2EBA" w:rsidRDefault="00FB51DE" w:rsidP="00644A4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Danmarks tilslutning til ERM II har medført en langt mere stabil valutakursudvikling overfor en lang række vigtige handelspartnere.</w:t>
            </w:r>
          </w:p>
        </w:tc>
        <w:tc>
          <w:tcPr>
            <w:tcW w:w="1440" w:type="dxa"/>
          </w:tcPr>
          <w:p w:rsidR="00FB51DE" w:rsidRPr="001062F6" w:rsidRDefault="00400D7A" w:rsidP="00400D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1" w:type="dxa"/>
          </w:tcPr>
          <w:p w:rsidR="00FB51DE" w:rsidRPr="001062F6" w:rsidRDefault="00FB51DE" w:rsidP="00400D7A">
            <w:pPr>
              <w:jc w:val="center"/>
              <w:rPr>
                <w:sz w:val="24"/>
                <w:szCs w:val="24"/>
              </w:rPr>
            </w:pPr>
          </w:p>
        </w:tc>
      </w:tr>
    </w:tbl>
    <w:p w:rsidR="00FB51DE" w:rsidRDefault="00FB51DE" w:rsidP="00FB51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.9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 xml:space="preserve">Inflationen bør ikke overskride </w:t>
      </w:r>
      <w:r w:rsidR="005F71D8" w:rsidRPr="00E65F91">
        <w:rPr>
          <w:rFonts w:ascii="Times New Roman" w:hAnsi="Times New Roman" w:cs="Times New Roman"/>
          <w:sz w:val="28"/>
          <w:szCs w:val="28"/>
        </w:rPr>
        <w:t>2 %</w:t>
      </w:r>
      <w:r w:rsidRPr="00E65F91">
        <w:rPr>
          <w:rFonts w:ascii="Times New Roman" w:hAnsi="Times New Roman" w:cs="Times New Roman"/>
          <w:sz w:val="28"/>
          <w:szCs w:val="28"/>
        </w:rPr>
        <w:t xml:space="preserve"> i flere på hinanden følgende perioder.</w:t>
      </w:r>
    </w:p>
    <w:p w:rsidR="00843F49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Inflationen/inflationspresset vurderes stadig højt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man vil hellere forebygge end helbrede. </w:t>
      </w:r>
      <w:r w:rsidRPr="00AB4468">
        <w:rPr>
          <w:rFonts w:ascii="Times New Roman" w:hAnsi="Times New Roman" w:cs="Times New Roman"/>
          <w:sz w:val="26"/>
          <w:szCs w:val="26"/>
        </w:rPr>
        <w:t>ECB</w:t>
      </w:r>
      <w:r w:rsidRPr="00E65F91">
        <w:rPr>
          <w:rFonts w:ascii="Times New Roman" w:hAnsi="Times New Roman" w:cs="Times New Roman"/>
          <w:sz w:val="28"/>
          <w:szCs w:val="28"/>
        </w:rPr>
        <w:t xml:space="preserve"> afventer derfor ikke, at inflationen </w:t>
      </w:r>
      <w:r w:rsidRPr="00AB4468">
        <w:rPr>
          <w:rFonts w:ascii="Times New Roman" w:hAnsi="Times New Roman" w:cs="Times New Roman"/>
          <w:i/>
          <w:sz w:val="28"/>
          <w:szCs w:val="28"/>
        </w:rPr>
        <w:t>måske</w:t>
      </w:r>
      <w:r w:rsidRPr="00E65F91">
        <w:rPr>
          <w:rFonts w:ascii="Times New Roman" w:hAnsi="Times New Roman" w:cs="Times New Roman"/>
          <w:sz w:val="28"/>
          <w:szCs w:val="28"/>
        </w:rPr>
        <w:t xml:space="preserve"> falder af sig selv. Desuden er grænsen på </w:t>
      </w:r>
      <w:r w:rsidR="005F71D8" w:rsidRPr="00E65F91">
        <w:rPr>
          <w:rFonts w:ascii="Times New Roman" w:hAnsi="Times New Roman" w:cs="Times New Roman"/>
          <w:sz w:val="28"/>
          <w:szCs w:val="28"/>
        </w:rPr>
        <w:t>2 %</w:t>
      </w:r>
      <w:r w:rsidRPr="00E65F91">
        <w:rPr>
          <w:rFonts w:ascii="Times New Roman" w:hAnsi="Times New Roman" w:cs="Times New Roman"/>
          <w:sz w:val="28"/>
          <w:szCs w:val="28"/>
        </w:rPr>
        <w:t xml:space="preserve"> stadig indiskutabelt overskredet.</w:t>
      </w: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4342BB" w:rsidP="00843F49">
      <w:pPr>
        <w:autoSpaceDE/>
        <w:autoSpaceDN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.10</w:t>
      </w:r>
    </w:p>
    <w:p w:rsidR="00843F49" w:rsidRPr="00E65F91" w:rsidRDefault="00843F49" w:rsidP="00843F49">
      <w:pPr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>A.</w:t>
      </w:r>
    </w:p>
    <w:p w:rsidR="00843F49" w:rsidRPr="00E65F91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Den fremtidige inflation i Danmark kan på grundlag af beskrivelsen tænkes at blive påvirket af m</w:t>
      </w:r>
      <w:r w:rsidRPr="00E65F91">
        <w:rPr>
          <w:rFonts w:ascii="Times New Roman" w:hAnsi="Times New Roman" w:cs="Times New Roman"/>
          <w:sz w:val="28"/>
          <w:szCs w:val="28"/>
        </w:rPr>
        <w:t>angl</w:t>
      </w:r>
      <w:r>
        <w:rPr>
          <w:rFonts w:ascii="Times New Roman" w:hAnsi="Times New Roman" w:cs="Times New Roman"/>
          <w:sz w:val="28"/>
          <w:szCs w:val="28"/>
        </w:rPr>
        <w:t>en</w:t>
      </w:r>
      <w:r w:rsidRPr="00E65F91">
        <w:rPr>
          <w:rFonts w:ascii="Times New Roman" w:hAnsi="Times New Roman" w:cs="Times New Roman"/>
          <w:sz w:val="28"/>
          <w:szCs w:val="28"/>
        </w:rPr>
        <w:t xml:space="preserve"> på arbejdskraft</w:t>
      </w:r>
      <w:r>
        <w:rPr>
          <w:rFonts w:ascii="Times New Roman" w:hAnsi="Times New Roman" w:cs="Times New Roman"/>
          <w:sz w:val="28"/>
          <w:szCs w:val="28"/>
        </w:rPr>
        <w:t xml:space="preserve">. Det vil øge </w:t>
      </w:r>
      <w:r w:rsidRPr="00E65F91">
        <w:rPr>
          <w:rFonts w:ascii="Times New Roman" w:hAnsi="Times New Roman" w:cs="Times New Roman"/>
          <w:sz w:val="28"/>
          <w:szCs w:val="28"/>
        </w:rPr>
        <w:t>lønpres</w:t>
      </w:r>
      <w:r>
        <w:rPr>
          <w:rFonts w:ascii="Times New Roman" w:hAnsi="Times New Roman" w:cs="Times New Roman"/>
          <w:sz w:val="28"/>
          <w:szCs w:val="28"/>
        </w:rPr>
        <w:t xml:space="preserve">set og dermed trække i retning af en </w:t>
      </w:r>
      <w:r w:rsidRPr="00E65F91">
        <w:rPr>
          <w:rFonts w:ascii="Times New Roman" w:hAnsi="Times New Roman" w:cs="Times New Roman"/>
          <w:sz w:val="28"/>
          <w:szCs w:val="28"/>
        </w:rPr>
        <w:t>stigende inflation</w:t>
      </w:r>
      <w:r>
        <w:rPr>
          <w:rFonts w:ascii="Times New Roman" w:hAnsi="Times New Roman" w:cs="Times New Roman"/>
          <w:sz w:val="28"/>
          <w:szCs w:val="28"/>
        </w:rPr>
        <w:t>. Den s</w:t>
      </w:r>
      <w:r w:rsidRPr="00E65F91">
        <w:rPr>
          <w:rFonts w:ascii="Times New Roman" w:hAnsi="Times New Roman" w:cs="Times New Roman"/>
          <w:sz w:val="28"/>
          <w:szCs w:val="28"/>
        </w:rPr>
        <w:t xml:space="preserve">tigende realløn </w:t>
      </w:r>
      <w:r>
        <w:rPr>
          <w:rFonts w:ascii="Times New Roman" w:hAnsi="Times New Roman" w:cs="Times New Roman"/>
          <w:sz w:val="28"/>
          <w:szCs w:val="28"/>
        </w:rPr>
        <w:t xml:space="preserve">kan dog omvendt medføre, at </w:t>
      </w:r>
      <w:r w:rsidRPr="00E65F91">
        <w:rPr>
          <w:rFonts w:ascii="Times New Roman" w:hAnsi="Times New Roman" w:cs="Times New Roman"/>
          <w:sz w:val="28"/>
          <w:szCs w:val="28"/>
        </w:rPr>
        <w:t>lønpres</w:t>
      </w:r>
      <w:r>
        <w:rPr>
          <w:rFonts w:ascii="Times New Roman" w:hAnsi="Times New Roman" w:cs="Times New Roman"/>
          <w:sz w:val="28"/>
          <w:szCs w:val="28"/>
        </w:rPr>
        <w:t xml:space="preserve">set aftager, idet behovet for yderligere </w:t>
      </w:r>
      <w:r w:rsidRPr="00E65F91">
        <w:rPr>
          <w:rFonts w:ascii="Times New Roman" w:hAnsi="Times New Roman" w:cs="Times New Roman"/>
          <w:sz w:val="28"/>
          <w:szCs w:val="28"/>
        </w:rPr>
        <w:t>lønstigninger</w:t>
      </w:r>
      <w:r>
        <w:rPr>
          <w:rFonts w:ascii="Times New Roman" w:hAnsi="Times New Roman" w:cs="Times New Roman"/>
          <w:sz w:val="28"/>
          <w:szCs w:val="28"/>
        </w:rPr>
        <w:t xml:space="preserve"> reduceres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Dette vil trække i retning af en </w:t>
      </w:r>
      <w:r w:rsidRPr="00E65F91">
        <w:rPr>
          <w:rFonts w:ascii="Times New Roman" w:hAnsi="Times New Roman" w:cs="Times New Roman"/>
          <w:sz w:val="28"/>
          <w:szCs w:val="28"/>
        </w:rPr>
        <w:t>stabil lav inflation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3F49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</w:p>
    <w:p w:rsidR="00677371" w:rsidRPr="00E65F91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</w:p>
    <w:p w:rsidR="00843F49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Det er åbenbart det sidstnævnte forhold, der har haft den største e</w:t>
      </w:r>
      <w:r w:rsidRPr="00E65F91">
        <w:rPr>
          <w:rFonts w:ascii="Times New Roman" w:hAnsi="Times New Roman" w:cs="Times New Roman"/>
          <w:sz w:val="28"/>
          <w:szCs w:val="28"/>
        </w:rPr>
        <w:t>ffekt</w:t>
      </w:r>
      <w:r>
        <w:rPr>
          <w:rFonts w:ascii="Times New Roman" w:hAnsi="Times New Roman" w:cs="Times New Roman"/>
          <w:sz w:val="28"/>
          <w:szCs w:val="28"/>
        </w:rPr>
        <w:t xml:space="preserve"> sammenholdt med, at </w:t>
      </w:r>
      <w:r w:rsidRPr="00E65F91">
        <w:rPr>
          <w:rFonts w:ascii="Times New Roman" w:hAnsi="Times New Roman" w:cs="Times New Roman"/>
          <w:sz w:val="28"/>
          <w:szCs w:val="28"/>
        </w:rPr>
        <w:t xml:space="preserve">udbuddet </w:t>
      </w:r>
      <w:r>
        <w:rPr>
          <w:rFonts w:ascii="Times New Roman" w:hAnsi="Times New Roman" w:cs="Times New Roman"/>
          <w:sz w:val="28"/>
          <w:szCs w:val="28"/>
        </w:rPr>
        <w:t>af arbejdskraft har kunnet følge med efterspørgslen af arbejdskraft.</w:t>
      </w:r>
    </w:p>
    <w:p w:rsidR="00843F49" w:rsidRDefault="00843F49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71D8" w:rsidRPr="00E65F91" w:rsidRDefault="005F71D8" w:rsidP="00843F49">
      <w:pPr>
        <w:tabs>
          <w:tab w:val="left" w:pos="720"/>
        </w:tabs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Derfor er risikoen for rentestigninger første omgang begrænset og det gør det variabelt forrentede lån mere attraktivt end det dyrere fastforrentede lån.</w:t>
      </w:r>
    </w:p>
    <w:p w:rsidR="005F71D8" w:rsidRPr="00E65F91" w:rsidRDefault="005F71D8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71D8" w:rsidRDefault="005F71D8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43F49" w:rsidRPr="00E65F91" w:rsidRDefault="004342BB" w:rsidP="00843F49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Opgave 6</w:t>
      </w:r>
      <w:r w:rsidR="00843F49" w:rsidRPr="00E65F91">
        <w:rPr>
          <w:rFonts w:ascii="Times New Roman" w:hAnsi="Times New Roman" w:cs="Times New Roman"/>
          <w:b/>
          <w:bCs/>
          <w:sz w:val="28"/>
          <w:szCs w:val="28"/>
        </w:rPr>
        <w:t>.11</w:t>
      </w:r>
    </w:p>
    <w:p w:rsidR="00843F49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DD70F7">
        <w:rPr>
          <w:rFonts w:ascii="Times New Roman" w:hAnsi="Times New Roman" w:cs="Times New Roman"/>
          <w:i/>
          <w:sz w:val="28"/>
          <w:szCs w:val="28"/>
        </w:rPr>
        <w:t xml:space="preserve">Forhold, der </w:t>
      </w:r>
      <w:r>
        <w:rPr>
          <w:rFonts w:ascii="Times New Roman" w:hAnsi="Times New Roman" w:cs="Times New Roman"/>
          <w:i/>
          <w:sz w:val="28"/>
          <w:szCs w:val="28"/>
        </w:rPr>
        <w:t xml:space="preserve">kan tænkes at </w:t>
      </w:r>
      <w:r w:rsidRPr="00DD70F7">
        <w:rPr>
          <w:rFonts w:ascii="Times New Roman" w:hAnsi="Times New Roman" w:cs="Times New Roman"/>
          <w:i/>
          <w:sz w:val="28"/>
          <w:szCs w:val="28"/>
        </w:rPr>
        <w:t>påvirke renteniveauet i Euro-zonen og i Danmark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43F49" w:rsidRDefault="00843F49" w:rsidP="00843F49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</w:t>
      </w:r>
      <w:r w:rsidRPr="00E65F91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igende økonomisk </w:t>
      </w:r>
      <w:r w:rsidRPr="00E65F91">
        <w:rPr>
          <w:rFonts w:ascii="Times New Roman" w:hAnsi="Times New Roman" w:cs="Times New Roman"/>
          <w:sz w:val="28"/>
          <w:szCs w:val="28"/>
        </w:rPr>
        <w:t>vækst</w:t>
      </w:r>
    </w:p>
    <w:p w:rsidR="00843F49" w:rsidRPr="00E65F91" w:rsidRDefault="005F71D8" w:rsidP="00843F49">
      <w:pPr>
        <w:numPr>
          <w:ilvl w:val="0"/>
          <w:numId w:val="3"/>
        </w:numPr>
        <w:tabs>
          <w:tab w:val="clear" w:pos="720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Fortsat lav inflation.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Den stigende </w:t>
      </w:r>
      <w:r w:rsidRPr="00E65F91">
        <w:rPr>
          <w:rFonts w:ascii="Times New Roman" w:hAnsi="Times New Roman" w:cs="Times New Roman"/>
          <w:sz w:val="28"/>
          <w:szCs w:val="28"/>
        </w:rPr>
        <w:t>økonomisk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E65F91">
        <w:rPr>
          <w:rFonts w:ascii="Times New Roman" w:hAnsi="Times New Roman" w:cs="Times New Roman"/>
          <w:sz w:val="28"/>
          <w:szCs w:val="28"/>
        </w:rPr>
        <w:t xml:space="preserve"> vækst vil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1">
        <w:rPr>
          <w:rFonts w:ascii="Times New Roman" w:hAnsi="Times New Roman" w:cs="Times New Roman"/>
          <w:sz w:val="28"/>
          <w:szCs w:val="28"/>
        </w:rPr>
        <w:t>før eller siden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5F91">
        <w:rPr>
          <w:rFonts w:ascii="Times New Roman" w:hAnsi="Times New Roman" w:cs="Times New Roman"/>
          <w:sz w:val="28"/>
          <w:szCs w:val="28"/>
        </w:rPr>
        <w:t xml:space="preserve">trække </w:t>
      </w:r>
      <w:r w:rsidR="005F71D8">
        <w:rPr>
          <w:rFonts w:ascii="Times New Roman" w:hAnsi="Times New Roman" w:cs="Times New Roman"/>
          <w:sz w:val="28"/>
          <w:szCs w:val="28"/>
        </w:rPr>
        <w:t xml:space="preserve">renteniveauet </w:t>
      </w:r>
      <w:r w:rsidR="005F71D8" w:rsidRPr="00E65F91">
        <w:rPr>
          <w:rFonts w:ascii="Times New Roman" w:hAnsi="Times New Roman" w:cs="Times New Roman"/>
          <w:sz w:val="28"/>
          <w:szCs w:val="28"/>
        </w:rPr>
        <w:t>opad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Den lave i</w:t>
      </w:r>
      <w:r w:rsidRPr="00E65F91">
        <w:rPr>
          <w:rFonts w:ascii="Times New Roman" w:hAnsi="Times New Roman" w:cs="Times New Roman"/>
          <w:sz w:val="28"/>
          <w:szCs w:val="28"/>
        </w:rPr>
        <w:t>nflation</w:t>
      </w:r>
      <w:r>
        <w:rPr>
          <w:rFonts w:ascii="Times New Roman" w:hAnsi="Times New Roman" w:cs="Times New Roman"/>
          <w:sz w:val="28"/>
          <w:szCs w:val="28"/>
        </w:rPr>
        <w:t xml:space="preserve"> vil derimod medvirke til at holde renteniveauet nede.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C.</w:t>
      </w: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Renteniveauet vil på sigt sandsynligvis stige. </w:t>
      </w:r>
      <w:r w:rsidRPr="00E65F91">
        <w:rPr>
          <w:rFonts w:ascii="Times New Roman" w:hAnsi="Times New Roman" w:cs="Times New Roman"/>
          <w:sz w:val="28"/>
          <w:szCs w:val="28"/>
        </w:rPr>
        <w:t xml:space="preserve">Der vil </w:t>
      </w:r>
      <w:r>
        <w:rPr>
          <w:rFonts w:ascii="Times New Roman" w:hAnsi="Times New Roman" w:cs="Times New Roman"/>
          <w:sz w:val="28"/>
          <w:szCs w:val="28"/>
        </w:rPr>
        <w:t xml:space="preserve">dog nok </w:t>
      </w:r>
      <w:r w:rsidRPr="00E65F91">
        <w:rPr>
          <w:rFonts w:ascii="Times New Roman" w:hAnsi="Times New Roman" w:cs="Times New Roman"/>
          <w:sz w:val="28"/>
          <w:szCs w:val="28"/>
        </w:rPr>
        <w:t xml:space="preserve">gå </w:t>
      </w:r>
      <w:r>
        <w:rPr>
          <w:rFonts w:ascii="Times New Roman" w:hAnsi="Times New Roman" w:cs="Times New Roman"/>
          <w:sz w:val="28"/>
          <w:szCs w:val="28"/>
        </w:rPr>
        <w:t xml:space="preserve">en rum tid, </w:t>
      </w:r>
      <w:r w:rsidRPr="00E65F91">
        <w:rPr>
          <w:rFonts w:ascii="Times New Roman" w:hAnsi="Times New Roman" w:cs="Times New Roman"/>
          <w:sz w:val="28"/>
          <w:szCs w:val="28"/>
        </w:rPr>
        <w:t xml:space="preserve">før inflationspresset </w:t>
      </w:r>
      <w:r>
        <w:rPr>
          <w:rFonts w:ascii="Times New Roman" w:hAnsi="Times New Roman" w:cs="Times New Roman"/>
          <w:sz w:val="28"/>
          <w:szCs w:val="28"/>
        </w:rPr>
        <w:t>bliver</w:t>
      </w:r>
      <w:r w:rsidRPr="00E65F91">
        <w:rPr>
          <w:rFonts w:ascii="Times New Roman" w:hAnsi="Times New Roman" w:cs="Times New Roman"/>
          <w:sz w:val="28"/>
          <w:szCs w:val="28"/>
        </w:rPr>
        <w:t xml:space="preserve"> så stort, at </w:t>
      </w:r>
      <w:r w:rsidRPr="00052EEA">
        <w:rPr>
          <w:rFonts w:ascii="Times New Roman" w:hAnsi="Times New Roman" w:cs="Times New Roman"/>
          <w:sz w:val="26"/>
          <w:szCs w:val="26"/>
        </w:rPr>
        <w:t>ECB</w:t>
      </w:r>
      <w:r w:rsidRPr="00E65F91">
        <w:rPr>
          <w:rFonts w:ascii="Times New Roman" w:hAnsi="Times New Roman" w:cs="Times New Roman"/>
          <w:sz w:val="28"/>
          <w:szCs w:val="28"/>
        </w:rPr>
        <w:t xml:space="preserve"> finder anledning til at reagere herpå. </w:t>
      </w:r>
      <w:r>
        <w:rPr>
          <w:rFonts w:ascii="Times New Roman" w:hAnsi="Times New Roman" w:cs="Times New Roman"/>
          <w:sz w:val="28"/>
          <w:szCs w:val="28"/>
        </w:rPr>
        <w:t xml:space="preserve">Hvis der fra </w:t>
      </w:r>
      <w:r w:rsidRPr="00052EEA">
        <w:rPr>
          <w:rFonts w:ascii="Times New Roman" w:hAnsi="Times New Roman" w:cs="Times New Roman"/>
          <w:sz w:val="26"/>
          <w:szCs w:val="26"/>
        </w:rPr>
        <w:t>ECB</w:t>
      </w:r>
      <w:r w:rsidRPr="00E65F91">
        <w:rPr>
          <w:rFonts w:ascii="Times New Roman" w:hAnsi="Times New Roman" w:cs="Times New Roman"/>
          <w:sz w:val="28"/>
          <w:szCs w:val="28"/>
        </w:rPr>
        <w:t xml:space="preserve">s side </w:t>
      </w:r>
      <w:r>
        <w:rPr>
          <w:rFonts w:ascii="Times New Roman" w:hAnsi="Times New Roman" w:cs="Times New Roman"/>
          <w:sz w:val="28"/>
          <w:szCs w:val="28"/>
        </w:rPr>
        <w:t xml:space="preserve">gennemføres </w:t>
      </w:r>
      <w:r w:rsidRPr="00E65F91">
        <w:rPr>
          <w:rFonts w:ascii="Times New Roman" w:hAnsi="Times New Roman" w:cs="Times New Roman"/>
          <w:sz w:val="28"/>
          <w:szCs w:val="28"/>
        </w:rPr>
        <w:t>rente</w:t>
      </w:r>
      <w:r>
        <w:rPr>
          <w:rFonts w:ascii="Times New Roman" w:hAnsi="Times New Roman" w:cs="Times New Roman"/>
          <w:sz w:val="28"/>
          <w:szCs w:val="28"/>
        </w:rPr>
        <w:t xml:space="preserve">stigninger, vil det medføre rentestigninger </w:t>
      </w:r>
      <w:r w:rsidRPr="00E65F91">
        <w:rPr>
          <w:rFonts w:ascii="Times New Roman" w:hAnsi="Times New Roman" w:cs="Times New Roman"/>
          <w:sz w:val="28"/>
          <w:szCs w:val="28"/>
        </w:rPr>
        <w:t>i Danmark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Fastforrentet lån</w:t>
      </w:r>
      <w:r w:rsidRPr="00E65F91">
        <w:rPr>
          <w:rFonts w:ascii="Times New Roman" w:hAnsi="Times New Roman" w:cs="Times New Roman"/>
          <w:sz w:val="28"/>
          <w:szCs w:val="28"/>
        </w:rPr>
        <w:t>: Ingen påvirkning af ydelse</w:t>
      </w:r>
      <w:r>
        <w:rPr>
          <w:rFonts w:ascii="Times New Roman" w:hAnsi="Times New Roman" w:cs="Times New Roman"/>
          <w:sz w:val="28"/>
          <w:szCs w:val="28"/>
        </w:rPr>
        <w:t xml:space="preserve">, idet både </w:t>
      </w:r>
      <w:r w:rsidRPr="00E65F91">
        <w:rPr>
          <w:rFonts w:ascii="Times New Roman" w:hAnsi="Times New Roman" w:cs="Times New Roman"/>
          <w:sz w:val="28"/>
          <w:szCs w:val="28"/>
        </w:rPr>
        <w:t>rente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afdrag er uforand</w:t>
      </w:r>
      <w:r>
        <w:rPr>
          <w:rFonts w:ascii="Times New Roman" w:hAnsi="Times New Roman" w:cs="Times New Roman"/>
          <w:sz w:val="28"/>
          <w:szCs w:val="28"/>
        </w:rPr>
        <w:t>rede.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Variabelt forrentet lån</w:t>
      </w:r>
      <w:r w:rsidRPr="00E65F91">
        <w:rPr>
          <w:rFonts w:ascii="Times New Roman" w:hAnsi="Times New Roman" w:cs="Times New Roman"/>
          <w:sz w:val="28"/>
          <w:szCs w:val="28"/>
        </w:rPr>
        <w:t xml:space="preserve">: Renten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stige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F91">
        <w:rPr>
          <w:rFonts w:ascii="Times New Roman" w:hAnsi="Times New Roman" w:cs="Times New Roman"/>
          <w:sz w:val="28"/>
          <w:szCs w:val="28"/>
        </w:rPr>
        <w:t xml:space="preserve"> og dermed </w:t>
      </w:r>
      <w:r>
        <w:rPr>
          <w:rFonts w:ascii="Times New Roman" w:hAnsi="Times New Roman" w:cs="Times New Roman"/>
          <w:sz w:val="28"/>
          <w:szCs w:val="28"/>
        </w:rPr>
        <w:t xml:space="preserve">vil </w:t>
      </w:r>
      <w:r w:rsidRPr="00E65F91">
        <w:rPr>
          <w:rFonts w:ascii="Times New Roman" w:hAnsi="Times New Roman" w:cs="Times New Roman"/>
          <w:sz w:val="28"/>
          <w:szCs w:val="28"/>
        </w:rPr>
        <w:t>ydelsen</w:t>
      </w:r>
      <w:r>
        <w:rPr>
          <w:rFonts w:ascii="Times New Roman" w:hAnsi="Times New Roman" w:cs="Times New Roman"/>
          <w:sz w:val="28"/>
          <w:szCs w:val="28"/>
        </w:rPr>
        <w:t xml:space="preserve"> stige</w:t>
      </w:r>
      <w:r w:rsidRPr="00E65F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E.</w:t>
      </w:r>
    </w:p>
    <w:p w:rsidR="00843F49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Fastforrentet lån</w:t>
      </w:r>
      <w:r w:rsidRPr="00E65F91">
        <w:rPr>
          <w:rFonts w:ascii="Times New Roman" w:hAnsi="Times New Roman" w:cs="Times New Roman"/>
          <w:sz w:val="28"/>
          <w:szCs w:val="28"/>
        </w:rPr>
        <w:t xml:space="preserve">: Faldende kurser </w:t>
      </w:r>
      <w:r>
        <w:rPr>
          <w:rFonts w:ascii="Times New Roman" w:hAnsi="Times New Roman" w:cs="Times New Roman"/>
          <w:sz w:val="28"/>
          <w:szCs w:val="28"/>
        </w:rPr>
        <w:t>kan føre til</w:t>
      </w:r>
      <w:r w:rsidRPr="00E65F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faldende restgæld, hvis der foretages en konvertering op.</w:t>
      </w:r>
      <w:r w:rsidR="005F71D8">
        <w:rPr>
          <w:rFonts w:ascii="Times New Roman" w:hAnsi="Times New Roman" w:cs="Times New Roman"/>
          <w:sz w:val="28"/>
          <w:szCs w:val="28"/>
        </w:rPr>
        <w:t xml:space="preserve"> Ydelsen og afdragsprofilen er upåvirket af </w:t>
      </w:r>
      <w:r w:rsidR="005F71D8">
        <w:rPr>
          <w:rFonts w:ascii="Times New Roman" w:hAnsi="Times New Roman" w:cs="Times New Roman"/>
          <w:sz w:val="28"/>
          <w:szCs w:val="28"/>
        </w:rPr>
        <w:lastRenderedPageBreak/>
        <w:t>renteudviklingen</w:t>
      </w:r>
    </w:p>
    <w:p w:rsidR="005F71D8" w:rsidRPr="00E65F91" w:rsidRDefault="005F71D8" w:rsidP="0084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3F49" w:rsidRPr="00E65F91" w:rsidRDefault="00843F49" w:rsidP="00843F49">
      <w:pPr>
        <w:jc w:val="both"/>
        <w:rPr>
          <w:rFonts w:ascii="Times New Roman" w:hAnsi="Times New Roman" w:cs="Times New Roman"/>
          <w:sz w:val="28"/>
          <w:szCs w:val="28"/>
        </w:rPr>
      </w:pPr>
      <w:r w:rsidRPr="00895829">
        <w:rPr>
          <w:rFonts w:ascii="Times New Roman" w:hAnsi="Times New Roman" w:cs="Times New Roman"/>
          <w:i/>
          <w:sz w:val="28"/>
          <w:szCs w:val="28"/>
        </w:rPr>
        <w:t>Variabelt forrentet lån</w:t>
      </w:r>
      <w:r w:rsidR="005F71D8">
        <w:rPr>
          <w:rFonts w:ascii="Times New Roman" w:hAnsi="Times New Roman" w:cs="Times New Roman"/>
          <w:sz w:val="28"/>
          <w:szCs w:val="28"/>
        </w:rPr>
        <w:t>: Stigende renteomkostninger betyder stigende ydelse og at forholdet mellem rente og afdrag ændres. Gælden afdrages således langsommere. Lånet er på samme tid blevet dyrere og med en ringere udvikling i restgæld</w:t>
      </w:r>
    </w:p>
    <w:p w:rsidR="00843F49" w:rsidRDefault="00843F49" w:rsidP="00843F49"/>
    <w:p w:rsidR="005F71D8" w:rsidRDefault="005F71D8" w:rsidP="00843F49"/>
    <w:p w:rsidR="00FB51DE" w:rsidRPr="00E65F91" w:rsidRDefault="00FB51DE" w:rsidP="00FB51DE">
      <w:pPr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Opgave 6.12</w:t>
      </w:r>
    </w:p>
    <w:p w:rsidR="00FB51DE" w:rsidRPr="004B0C8E" w:rsidRDefault="00FB51DE" w:rsidP="00FB51DE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-Gitter"/>
        <w:tblW w:w="9854" w:type="dxa"/>
        <w:tblLook w:val="01E0" w:firstRow="1" w:lastRow="1" w:firstColumn="1" w:lastColumn="1" w:noHBand="0" w:noVBand="0"/>
      </w:tblPr>
      <w:tblGrid>
        <w:gridCol w:w="4465"/>
        <w:gridCol w:w="5389"/>
      </w:tblGrid>
      <w:tr w:rsidR="005F71D8" w:rsidRPr="004B0C8E" w:rsidTr="005F71D8">
        <w:tc>
          <w:tcPr>
            <w:tcW w:w="5431" w:type="dxa"/>
            <w:shd w:val="clear" w:color="auto" w:fill="D9D9D9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B0C8E">
              <w:rPr>
                <w:rFonts w:ascii="Times New Roman" w:hAnsi="Times New Roman"/>
                <w:sz w:val="24"/>
                <w:szCs w:val="24"/>
              </w:rPr>
              <w:t>Spørgsmål</w:t>
            </w:r>
          </w:p>
        </w:tc>
        <w:tc>
          <w:tcPr>
            <w:tcW w:w="4423" w:type="dxa"/>
            <w:shd w:val="clear" w:color="auto" w:fill="D9D9D9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svar</w:t>
            </w: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Forklar hvorledes pengepolitik kan anvendes til at bekæmpe inflation. </w:t>
            </w:r>
          </w:p>
        </w:tc>
        <w:tc>
          <w:tcPr>
            <w:tcW w:w="4423" w:type="dxa"/>
          </w:tcPr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Stigende rente i Danmark gør det mere attraktivt at investere i Danmark samtidig med at danskere låner flere penge i udlandet. Begge dele øger valutaindstrømningen og efterspørgslen efter danske kroner. Dermed stiger kursen.</w:t>
            </w: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Forklar ved hjælp af en udbuds- og efterspørgselskurve hvorledes nationalbanken med pengepolitikken kan støtte en svag dansk krone.</w:t>
            </w:r>
          </w:p>
        </w:tc>
        <w:tc>
          <w:tcPr>
            <w:tcW w:w="4423" w:type="dxa"/>
          </w:tcPr>
          <w:p w:rsidR="005F71D8" w:rsidRDefault="005F71D8" w:rsidP="005F71D8">
            <w:pPr>
              <w:pStyle w:val="Brdtekst1"/>
            </w:pPr>
          </w:p>
          <w:p w:rsidR="005F71D8" w:rsidRDefault="005F71D8" w:rsidP="005F71D8">
            <w:pPr>
              <w:pStyle w:val="Brdtekst1"/>
            </w:pPr>
            <w:r>
              <w:rPr>
                <w:noProof/>
                <w:lang w:eastAsia="da-DK"/>
              </w:rPr>
              <w:drawing>
                <wp:inline distT="0" distB="0" distL="0" distR="0">
                  <wp:extent cx="3285460" cy="1392865"/>
                  <wp:effectExtent l="0" t="0" r="0" b="0"/>
                  <wp:docPr id="1" name="Objek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604448" cy="3742675"/>
                            <a:chOff x="251520" y="1556792"/>
                            <a:chExt cx="8604448" cy="3742675"/>
                          </a:xfrm>
                        </a:grpSpPr>
                        <a:grpSp>
                          <a:nvGrpSpPr>
                            <a:cNvPr id="16" name="Gruppe 15"/>
                            <a:cNvGrpSpPr/>
                          </a:nvGrpSpPr>
                          <a:grpSpPr>
                            <a:xfrm>
                              <a:off x="251520" y="1556792"/>
                              <a:ext cx="8604448" cy="3742675"/>
                              <a:chOff x="251520" y="1556792"/>
                              <a:chExt cx="8604448" cy="3742675"/>
                            </a:xfrm>
                          </a:grpSpPr>
                          <a:grpSp>
                            <a:nvGrpSpPr>
                              <a:cNvPr id="3" name="Gruppe 25"/>
                              <a:cNvGrpSpPr/>
                            </a:nvGrpSpPr>
                            <a:grpSpPr>
                              <a:xfrm>
                                <a:off x="251520" y="1556792"/>
                                <a:ext cx="8604448" cy="3742675"/>
                                <a:chOff x="251520" y="1556792"/>
                                <a:chExt cx="8604448" cy="3742675"/>
                              </a:xfrm>
                            </a:grpSpPr>
                            <a:cxnSp>
                              <a:nvCxnSpPr>
                                <a:cNvPr id="2" name="Lige forbindelse 2"/>
                                <a:cNvCxnSpPr/>
                              </a:nvCxnSpPr>
                              <a:spPr>
                                <a:xfrm>
                                  <a:off x="323528" y="2204864"/>
                                  <a:ext cx="504056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5" name="Lige forbindelse 4"/>
                                <a:cNvCxnSpPr/>
                              </a:nvCxnSpPr>
                              <a:spPr>
                                <a:xfrm>
                                  <a:off x="323528" y="3429000"/>
                                  <a:ext cx="504056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cxnSp>
                              <a:nvCxnSpPr>
                                <a:cNvPr id="6" name="Lige forbindelse 5"/>
                                <a:cNvCxnSpPr/>
                              </a:nvCxnSpPr>
                              <a:spPr>
                                <a:xfrm>
                                  <a:off x="323528" y="4653136"/>
                                  <a:ext cx="5040560" cy="0"/>
                                </a:xfrm>
                                <a:prstGeom prst="line">
                                  <a:avLst/>
                                </a:prstGeom>
                              </a:spPr>
                              <a:style>
                                <a:lnRef idx="2">
                                  <a:schemeClr val="accent6"/>
                                </a:lnRef>
                                <a:fillRef idx="0">
                                  <a:schemeClr val="accent6"/>
                                </a:fillRef>
                                <a:effectRef idx="1">
                                  <a:schemeClr val="accent6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8" name="Tekstboks 7"/>
                                <a:cNvSpPr txBox="1"/>
                              </a:nvSpPr>
                              <a:spPr>
                                <a:xfrm>
                                  <a:off x="251520" y="1556792"/>
                                  <a:ext cx="3960440" cy="64633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da-DK" dirty="0" smtClean="0"/>
                                      <a:t>Øvre interventionsgrænse: </a:t>
                                    </a:r>
                                  </a:p>
                                  <a:p>
                                    <a:r>
                                      <a:rPr lang="da-DK" dirty="0" smtClean="0"/>
                                      <a:t>Kurs 762,824</a:t>
                                    </a:r>
                                    <a:endParaRPr lang="da-DK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9" name="Tekstboks 8"/>
                                <a:cNvSpPr txBox="1"/>
                              </a:nvSpPr>
                              <a:spPr>
                                <a:xfrm>
                                  <a:off x="251520" y="4653136"/>
                                  <a:ext cx="4104456" cy="64633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da-DK" dirty="0" smtClean="0"/>
                                      <a:t>Nedre interventionsgrænse: </a:t>
                                    </a:r>
                                  </a:p>
                                  <a:p>
                                    <a:r>
                                      <a:rPr lang="da-DK" dirty="0" smtClean="0"/>
                                      <a:t>Kurs 729,252</a:t>
                                    </a:r>
                                    <a:endParaRPr lang="da-DK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0" name="Tekstboks 9"/>
                                <a:cNvSpPr txBox="1"/>
                              </a:nvSpPr>
                              <a:spPr>
                                <a:xfrm>
                                  <a:off x="5508104" y="3142709"/>
                                  <a:ext cx="1368152" cy="646331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square" rtlCol="0">
                                    <a:spAutoFit/>
                                  </a:bodyPr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da-DK" dirty="0" smtClean="0"/>
                                      <a:t>Centralkurs:</a:t>
                                    </a:r>
                                  </a:p>
                                  <a:p>
                                    <a:r>
                                      <a:rPr lang="da-DK" dirty="0" smtClean="0"/>
                                      <a:t>746,038</a:t>
                                    </a:r>
                                    <a:endParaRPr lang="da-DK" dirty="0"/>
                                  </a:p>
                                </a:txBody>
                                <a:useSpRect/>
                              </a:txSp>
                            </a:sp>
                            <a:sp>
                              <a:nvSpPr>
                                <a:cNvPr id="13" name="Kombinationstegning 12"/>
                                <a:cNvSpPr/>
                              </a:nvSpPr>
                              <a:spPr>
                                <a:xfrm>
                                  <a:off x="755576" y="2492896"/>
                                  <a:ext cx="3168352" cy="1666078"/>
                                </a:xfrm>
                                <a:custGeom>
                                  <a:avLst/>
                                  <a:gdLst>
                                    <a:gd name="connsiteX0" fmla="*/ 0 w 3710608"/>
                                    <a:gd name="connsiteY0" fmla="*/ 1457739 h 2330174"/>
                                    <a:gd name="connsiteX1" fmla="*/ 755374 w 3710608"/>
                                    <a:gd name="connsiteY1" fmla="*/ 1179443 h 2330174"/>
                                    <a:gd name="connsiteX2" fmla="*/ 1643269 w 3710608"/>
                                    <a:gd name="connsiteY2" fmla="*/ 2133600 h 2330174"/>
                                    <a:gd name="connsiteX3" fmla="*/ 3710608 w 3710608"/>
                                    <a:gd name="connsiteY3" fmla="*/ 0 h 2330174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  <a:cxn ang="0">
                                      <a:pos x="connsiteX3" y="connsiteY3"/>
                                    </a:cxn>
                                  </a:cxnLst>
                                  <a:rect l="l" t="t" r="r" b="b"/>
                                  <a:pathLst>
                                    <a:path w="3710608" h="2330174">
                                      <a:moveTo>
                                        <a:pt x="0" y="1457739"/>
                                      </a:moveTo>
                                      <a:cubicBezTo>
                                        <a:pt x="240748" y="1262269"/>
                                        <a:pt x="481496" y="1066799"/>
                                        <a:pt x="755374" y="1179443"/>
                                      </a:cubicBezTo>
                                      <a:cubicBezTo>
                                        <a:pt x="1029252" y="1292087"/>
                                        <a:pt x="1150730" y="2330174"/>
                                        <a:pt x="1643269" y="2133600"/>
                                      </a:cubicBezTo>
                                      <a:cubicBezTo>
                                        <a:pt x="2135808" y="1937026"/>
                                        <a:pt x="2923208" y="968513"/>
                                        <a:pt x="3710608" y="0"/>
                                      </a:cubicBezTo>
                                    </a:path>
                                  </a:pathLst>
                                </a:cu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1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cxnSp>
                              <a:nvCxnSpPr>
                                <a:cNvPr id="15" name="Lige pilforbindelse 14"/>
                                <a:cNvCxnSpPr/>
                              </a:nvCxnSpPr>
                              <a:spPr>
                                <a:xfrm rot="10800000" flipV="1">
                                  <a:off x="3851920" y="2348878"/>
                                  <a:ext cx="1800200" cy="28803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a:spPr>
                              <a:style>
                                <a:lnRef idx="2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1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cxnSp>
                            <a:sp>
                              <a:nvSpPr>
                                <a:cNvPr id="19" name="Rektangel 18"/>
                                <a:cNvSpPr/>
                              </a:nvSpPr>
                              <a:spPr>
                                <a:xfrm>
                                  <a:off x="5652120" y="1628800"/>
                                  <a:ext cx="3203848" cy="1224136"/>
                                </a:xfrm>
                                <a:prstGeom prst="rect">
                                  <a:avLst/>
                                </a:pr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lt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da-DK" dirty="0" smtClean="0"/>
                                      <a:t>Indgreb:</a:t>
                                    </a:r>
                                  </a:p>
                                  <a:p>
                                    <a:r>
                                      <a:rPr lang="da-DK" dirty="0" smtClean="0"/>
                                      <a:t>1: Støtteopkøb af danske kroner</a:t>
                                    </a:r>
                                  </a:p>
                                  <a:p>
                                    <a:r>
                                      <a:rPr lang="da-DK" dirty="0" smtClean="0"/>
                                      <a:t>2: Rentestigning</a:t>
                                    </a:r>
                                    <a:endParaRPr lang="da-DK" dirty="0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2">
                                    <a:shade val="50000"/>
                                  </a:schemeClr>
                                </a:lnRef>
                                <a:fillRef idx="1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lt1"/>
                                </a:fontRef>
                              </a:style>
                            </a:sp>
                            <a:sp>
                              <a:nvSpPr>
                                <a:cNvPr id="24" name="Kombinationstegning 23"/>
                                <a:cNvSpPr/>
                              </a:nvSpPr>
                              <a:spPr>
                                <a:xfrm>
                                  <a:off x="3923928" y="2344933"/>
                                  <a:ext cx="580445" cy="435995"/>
                                </a:xfrm>
                                <a:custGeom>
                                  <a:avLst/>
                                  <a:gdLst>
                                    <a:gd name="connsiteX0" fmla="*/ 0 w 580445"/>
                                    <a:gd name="connsiteY0" fmla="*/ 157700 h 435995"/>
                                    <a:gd name="connsiteX1" fmla="*/ 326003 w 580445"/>
                                    <a:gd name="connsiteY1" fmla="*/ 46382 h 435995"/>
                                    <a:gd name="connsiteX2" fmla="*/ 580445 w 580445"/>
                                    <a:gd name="connsiteY2" fmla="*/ 435995 h 435995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  <a:cxn ang="0">
                                      <a:pos x="connsiteX2" y="connsiteY2"/>
                                    </a:cxn>
                                  </a:cxnLst>
                                  <a:rect l="l" t="t" r="r" b="b"/>
                                  <a:pathLst>
                                    <a:path w="580445" h="435995">
                                      <a:moveTo>
                                        <a:pt x="0" y="157700"/>
                                      </a:moveTo>
                                      <a:cubicBezTo>
                                        <a:pt x="114631" y="78850"/>
                                        <a:pt x="229262" y="0"/>
                                        <a:pt x="326003" y="46382"/>
                                      </a:cubicBezTo>
                                      <a:cubicBezTo>
                                        <a:pt x="422744" y="92764"/>
                                        <a:pt x="501594" y="264379"/>
                                        <a:pt x="580445" y="435995"/>
                                      </a:cubicBezTo>
                                    </a:path>
                                  </a:pathLst>
                                </a:custGeom>
                              </a:spPr>
                              <a:txSp>
                                <a:txBody>
                                  <a:bodyPr rtlCol="0" anchor="ctr"/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algn="ctr"/>
                                    <a:endParaRPr lang="da-DK"/>
                                  </a:p>
                                </a:txBody>
                                <a:useSpRect/>
                              </a:txSp>
                              <a:style>
                                <a:lnRef idx="2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1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a:style>
                            </a:sp>
                            <a:sp>
                              <a:nvSpPr>
                                <a:cNvPr id="25" name="Tekstboks 24"/>
                                <a:cNvSpPr txBox="1"/>
                              </a:nvSpPr>
                              <a:spPr>
                                <a:xfrm>
                                  <a:off x="1725240" y="3933056"/>
                                  <a:ext cx="1622624" cy="369332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da-DK"/>
                                    </a:defPPr>
                                    <a:lvl1pPr marL="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1800" kern="1200">
                                        <a:solidFill>
                                          <a:schemeClr val="tx1"/>
                                        </a:solidFill>
                                        <a:latin typeface="+mn-lt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da-DK" dirty="0" smtClean="0">
                                        <a:solidFill>
                                          <a:schemeClr val="tx2">
                                            <a:lumMod val="60000"/>
                                            <a:lumOff val="40000"/>
                                          </a:schemeClr>
                                        </a:solidFill>
                                      </a:rPr>
                                      <a:t>Markedskursen</a:t>
                                    </a:r>
                                    <a:endParaRPr lang="da-DK" dirty="0"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</a:grpSp>
                          <a:cxnSp>
                            <a:nvCxnSpPr>
                              <a:cNvPr id="28" name="Lige forbindelse 27"/>
                              <a:cNvCxnSpPr/>
                            </a:nvCxnSpPr>
                            <a:spPr>
                              <a:xfrm flipV="1">
                                <a:off x="3923928" y="1912572"/>
                                <a:ext cx="576064" cy="580324"/>
                              </a:xfrm>
                              <a:prstGeom prst="line">
                                <a:avLst/>
                              </a:prstGeom>
                              <a:ln>
                                <a:prstDash val="dash"/>
                              </a:ln>
                            </a:spPr>
                            <a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a:style>
                          </a:cxnSp>
                          <a:sp>
                            <a:nvSpPr>
                              <a:cNvPr id="17" name="Tekstboks 16"/>
                              <a:cNvSpPr txBox="1"/>
                            </a:nvSpPr>
                            <a:spPr>
                              <a:xfrm>
                                <a:off x="4191005" y="2636912"/>
                                <a:ext cx="813043" cy="369332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da-DK"/>
                                  </a:defPPr>
                                  <a:lvl1pPr marL="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1800" kern="1200">
                                      <a:solidFill>
                                        <a:schemeClr val="tx1"/>
                                      </a:solidFill>
                                      <a:latin typeface="+mn-lt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da-DK" dirty="0" smtClean="0">
                                      <a:solidFill>
                                        <a:schemeClr val="accent2"/>
                                      </a:solidFill>
                                    </a:rPr>
                                    <a:t>Succes</a:t>
                                  </a:r>
                                  <a:endParaRPr lang="da-DK" dirty="0">
                                    <a:solidFill>
                                      <a:schemeClr val="accent2"/>
                                    </a:solidFill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Forklar ved hjælp af en udbuds- og efterspørgselskurve hvorledes nationalbanken med valutareserven kan støtte en svag dansk krone.</w:t>
            </w:r>
          </w:p>
        </w:tc>
        <w:tc>
          <w:tcPr>
            <w:tcW w:w="4423" w:type="dxa"/>
          </w:tcPr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 ovenfor</w:t>
            </w: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Forklar hvorledes et stigende renteniveau påvirker husejerens overvejelser omkring variabelt eller fastforrentet realkreditlån.</w:t>
            </w:r>
          </w:p>
        </w:tc>
        <w:tc>
          <w:tcPr>
            <w:tcW w:w="4423" w:type="dxa"/>
          </w:tcPr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Fastforrentede lån: Ingen ændring</w:t>
            </w:r>
          </w:p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Variabelt forrentede lån: Stigende renteomkostninger, stigende ydelse men en faldende afdragsdel ved annuitetslån. Derfor en restgæld der afvikles langsommere.</w:t>
            </w:r>
          </w:p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Variabelt forrentet lån med afdragsfrihed: Alene stigende renteomkostninger og tilsvarende stigende ydelse.</w:t>
            </w: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Vurder om Danmark er på vej mod stigende renteniveau grundet inflationsrisiko.</w:t>
            </w:r>
          </w:p>
        </w:tc>
        <w:tc>
          <w:tcPr>
            <w:tcW w:w="4423" w:type="dxa"/>
          </w:tcPr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Afhængig af besvarelsestidspunkt</w:t>
            </w:r>
          </w:p>
        </w:tc>
      </w:tr>
      <w:tr w:rsidR="005F71D8" w:rsidRPr="004B0C8E" w:rsidTr="005F71D8">
        <w:tc>
          <w:tcPr>
            <w:tcW w:w="5431" w:type="dxa"/>
          </w:tcPr>
          <w:p w:rsidR="005F71D8" w:rsidRPr="004B0C8E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Vurder om Danmark er på vej mod stigende rente grundet valutauro.</w:t>
            </w:r>
          </w:p>
        </w:tc>
        <w:tc>
          <w:tcPr>
            <w:tcW w:w="4423" w:type="dxa"/>
          </w:tcPr>
          <w:p w:rsidR="005F71D8" w:rsidRDefault="005F71D8" w:rsidP="00644A44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Afhængig af besvarelsestidspunkt</w:t>
            </w:r>
          </w:p>
        </w:tc>
      </w:tr>
    </w:tbl>
    <w:p w:rsidR="00FB51DE" w:rsidRDefault="00FB51DE" w:rsidP="00843F49"/>
    <w:sectPr w:rsidR="00FB51DE" w:rsidSect="00A72D8D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1134" w:bottom="170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FB7" w:rsidRDefault="00310FB7" w:rsidP="00480BE0">
      <w:r>
        <w:separator/>
      </w:r>
    </w:p>
  </w:endnote>
  <w:endnote w:type="continuationSeparator" w:id="0">
    <w:p w:rsidR="00310FB7" w:rsidRDefault="00310FB7" w:rsidP="00480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BE0" w:rsidRPr="00480BE0" w:rsidRDefault="00A42968" w:rsidP="00480BE0">
    <w:pPr>
      <w:pStyle w:val="Sidefod"/>
      <w:framePr w:wrap="around" w:vAnchor="text" w:hAnchor="margin" w:xAlign="outside" w:y="1"/>
      <w:rPr>
        <w:rStyle w:val="Sidetal"/>
        <w:rFonts w:ascii="Times New Roman" w:hAnsi="Times New Roman" w:cs="Times New Roman"/>
        <w:sz w:val="24"/>
        <w:szCs w:val="24"/>
      </w:rPr>
    </w:pP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begin"/>
    </w:r>
    <w:r w:rsidR="00480BE0" w:rsidRPr="00480BE0">
      <w:rPr>
        <w:rStyle w:val="Sidetal"/>
        <w:rFonts w:ascii="Times New Roman" w:hAnsi="Times New Roman" w:cs="Times New Roman"/>
        <w:sz w:val="24"/>
        <w:szCs w:val="24"/>
      </w:rPr>
      <w:instrText xml:space="preserve">PAGE  </w:instrText>
    </w: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separate"/>
    </w:r>
    <w:r w:rsidR="00D66956">
      <w:rPr>
        <w:rStyle w:val="Sidetal"/>
        <w:rFonts w:ascii="Times New Roman" w:hAnsi="Times New Roman" w:cs="Times New Roman"/>
        <w:noProof/>
        <w:sz w:val="24"/>
        <w:szCs w:val="24"/>
      </w:rPr>
      <w:t>26</w:t>
    </w:r>
    <w:r w:rsidRPr="00480BE0">
      <w:rPr>
        <w:rStyle w:val="Sidetal"/>
        <w:rFonts w:ascii="Times New Roman" w:hAnsi="Times New Roman" w:cs="Times New Roman"/>
        <w:sz w:val="24"/>
        <w:szCs w:val="24"/>
      </w:rPr>
      <w:fldChar w:fldCharType="end"/>
    </w:r>
  </w:p>
  <w:p w:rsidR="00480BE0" w:rsidRDefault="00480BE0" w:rsidP="00480BE0">
    <w:pPr>
      <w:pStyle w:val="Sidefod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5427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72D8D" w:rsidRDefault="00A72D8D">
        <w:pPr>
          <w:pStyle w:val="Sidefo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80BE0" w:rsidRDefault="00480BE0" w:rsidP="00480BE0">
    <w:pPr>
      <w:pStyle w:val="Sidefod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FB7" w:rsidRDefault="00310FB7" w:rsidP="00480BE0">
      <w:r>
        <w:separator/>
      </w:r>
    </w:p>
  </w:footnote>
  <w:footnote w:type="continuationSeparator" w:id="0">
    <w:p w:rsidR="00310FB7" w:rsidRDefault="00310FB7" w:rsidP="00480B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648"/>
      <w:gridCol w:w="9072"/>
    </w:tblGrid>
    <w:tr w:rsidR="00480BE0" w:rsidTr="00731536">
      <w:tc>
        <w:tcPr>
          <w:tcW w:w="648" w:type="dxa"/>
          <w:tcBorders>
            <w:right w:val="single" w:sz="4" w:space="0" w:color="auto"/>
          </w:tcBorders>
          <w:shd w:val="solid" w:color="auto" w:fill="auto"/>
        </w:tcPr>
        <w:p w:rsidR="00480BE0" w:rsidRPr="00731536" w:rsidRDefault="00D66956" w:rsidP="00731536">
          <w:pPr>
            <w:pStyle w:val="Sidehoved"/>
            <w:tabs>
              <w:tab w:val="clear" w:pos="4819"/>
              <w:tab w:val="clear" w:pos="9638"/>
            </w:tabs>
            <w:ind w:left="-108" w:right="-108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  <w:tc>
        <w:tcPr>
          <w:tcW w:w="9072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480BE0" w:rsidRPr="00731536" w:rsidRDefault="00480BE0" w:rsidP="00731536">
          <w:pPr>
            <w:pStyle w:val="Sidehoved"/>
            <w:tabs>
              <w:tab w:val="clear" w:pos="4819"/>
              <w:tab w:val="clear" w:pos="9638"/>
            </w:tabs>
            <w:ind w:left="-288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1536">
            <w:rPr>
              <w:rFonts w:ascii="Times New Roman" w:hAnsi="Times New Roman" w:cs="Times New Roman"/>
              <w:sz w:val="24"/>
              <w:szCs w:val="24"/>
            </w:rPr>
            <w:t>Rentedannelse</w:t>
          </w:r>
        </w:p>
      </w:tc>
    </w:tr>
  </w:tbl>
  <w:p w:rsidR="00480BE0" w:rsidRDefault="00480BE0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2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108"/>
      <w:gridCol w:w="720"/>
    </w:tblGrid>
    <w:tr w:rsidR="00480BE0" w:rsidTr="00731536">
      <w:tc>
        <w:tcPr>
          <w:tcW w:w="9108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480BE0" w:rsidRPr="00731536" w:rsidRDefault="00480BE0" w:rsidP="00731536">
          <w:pPr>
            <w:pStyle w:val="Sidehoved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731536">
            <w:rPr>
              <w:rFonts w:ascii="Times New Roman" w:hAnsi="Times New Roman" w:cs="Times New Roman"/>
              <w:sz w:val="24"/>
              <w:szCs w:val="24"/>
            </w:rPr>
            <w:t>Rentedannelse</w:t>
          </w:r>
        </w:p>
      </w:tc>
      <w:tc>
        <w:tcPr>
          <w:tcW w:w="720" w:type="dxa"/>
          <w:tcBorders>
            <w:left w:val="single" w:sz="4" w:space="0" w:color="auto"/>
          </w:tcBorders>
          <w:shd w:val="solid" w:color="auto" w:fill="auto"/>
        </w:tcPr>
        <w:p w:rsidR="00480BE0" w:rsidRPr="00731536" w:rsidRDefault="00D66956" w:rsidP="00731536">
          <w:pPr>
            <w:pStyle w:val="Sidehoved"/>
            <w:tabs>
              <w:tab w:val="clear" w:pos="4819"/>
              <w:tab w:val="clear" w:pos="9638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sz w:val="24"/>
              <w:szCs w:val="24"/>
            </w:rPr>
            <w:t>6</w:t>
          </w:r>
        </w:p>
      </w:tc>
    </w:tr>
  </w:tbl>
  <w:p w:rsidR="00480BE0" w:rsidRDefault="00480BE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E84556"/>
    <w:multiLevelType w:val="hybridMultilevel"/>
    <w:tmpl w:val="6FA8EFB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1211EB"/>
    <w:multiLevelType w:val="hybridMultilevel"/>
    <w:tmpl w:val="3DAA19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6B2E13"/>
    <w:multiLevelType w:val="hybridMultilevel"/>
    <w:tmpl w:val="B1CC835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3F49"/>
    <w:rsid w:val="00035F8E"/>
    <w:rsid w:val="000A29DE"/>
    <w:rsid w:val="00103BBC"/>
    <w:rsid w:val="00114810"/>
    <w:rsid w:val="00150EB3"/>
    <w:rsid w:val="001638DE"/>
    <w:rsid w:val="001B2E7B"/>
    <w:rsid w:val="001D3915"/>
    <w:rsid w:val="00250D5A"/>
    <w:rsid w:val="00310FB7"/>
    <w:rsid w:val="00326A58"/>
    <w:rsid w:val="003509C3"/>
    <w:rsid w:val="00352EF7"/>
    <w:rsid w:val="003706D9"/>
    <w:rsid w:val="003A2BA0"/>
    <w:rsid w:val="00400D7A"/>
    <w:rsid w:val="004342BB"/>
    <w:rsid w:val="00480BE0"/>
    <w:rsid w:val="0048683D"/>
    <w:rsid w:val="004B7ECF"/>
    <w:rsid w:val="004D2E52"/>
    <w:rsid w:val="00551F02"/>
    <w:rsid w:val="00567BC9"/>
    <w:rsid w:val="005F71D8"/>
    <w:rsid w:val="00677371"/>
    <w:rsid w:val="0069217C"/>
    <w:rsid w:val="006D572F"/>
    <w:rsid w:val="006F3508"/>
    <w:rsid w:val="00731536"/>
    <w:rsid w:val="00753BC7"/>
    <w:rsid w:val="007650C3"/>
    <w:rsid w:val="007C098E"/>
    <w:rsid w:val="00843F49"/>
    <w:rsid w:val="00885E08"/>
    <w:rsid w:val="008A7194"/>
    <w:rsid w:val="008C7486"/>
    <w:rsid w:val="008F7310"/>
    <w:rsid w:val="00906B09"/>
    <w:rsid w:val="009F5262"/>
    <w:rsid w:val="00A42968"/>
    <w:rsid w:val="00A72D8D"/>
    <w:rsid w:val="00A958B8"/>
    <w:rsid w:val="00AB67BF"/>
    <w:rsid w:val="00AF567A"/>
    <w:rsid w:val="00B012A7"/>
    <w:rsid w:val="00B05040"/>
    <w:rsid w:val="00B67AB6"/>
    <w:rsid w:val="00B86298"/>
    <w:rsid w:val="00BA56F3"/>
    <w:rsid w:val="00BE0A1F"/>
    <w:rsid w:val="00BF555A"/>
    <w:rsid w:val="00C82626"/>
    <w:rsid w:val="00C85A09"/>
    <w:rsid w:val="00D038F8"/>
    <w:rsid w:val="00D179E4"/>
    <w:rsid w:val="00D2567A"/>
    <w:rsid w:val="00D301DF"/>
    <w:rsid w:val="00D62D9F"/>
    <w:rsid w:val="00D66956"/>
    <w:rsid w:val="00DD77B5"/>
    <w:rsid w:val="00E52611"/>
    <w:rsid w:val="00FB51DE"/>
    <w:rsid w:val="00FF0397"/>
    <w:rsid w:val="00FF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F49"/>
    <w:pPr>
      <w:widowControl w:val="0"/>
      <w:overflowPunct w:val="0"/>
      <w:autoSpaceDE w:val="0"/>
      <w:autoSpaceDN w:val="0"/>
      <w:adjustRightInd w:val="0"/>
    </w:pPr>
    <w:rPr>
      <w:rFonts w:ascii="Arial" w:hAnsi="Arial" w:cs="Arial"/>
      <w:kern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rsid w:val="00480BE0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480BE0"/>
  </w:style>
  <w:style w:type="paragraph" w:styleId="Sidehoved">
    <w:name w:val="header"/>
    <w:basedOn w:val="Normal"/>
    <w:rsid w:val="00480BE0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uiPriority w:val="59"/>
    <w:rsid w:val="00480BE0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rdtekst1">
    <w:name w:val="Brødtekst1"/>
    <w:basedOn w:val="Normal"/>
    <w:rsid w:val="005F71D8"/>
    <w:pPr>
      <w:widowControl/>
      <w:tabs>
        <w:tab w:val="left" w:pos="260"/>
      </w:tabs>
      <w:overflowPunct/>
      <w:spacing w:line="260" w:lineRule="atLeast"/>
      <w:jc w:val="both"/>
      <w:textAlignment w:val="center"/>
    </w:pPr>
    <w:rPr>
      <w:rFonts w:ascii="Times" w:hAnsi="Times" w:cs="Times"/>
      <w:color w:val="000000"/>
      <w:kern w:val="0"/>
      <w:sz w:val="23"/>
      <w:szCs w:val="23"/>
      <w:lang w:eastAsia="en-US"/>
    </w:rPr>
  </w:style>
  <w:style w:type="paragraph" w:styleId="Markeringsbobletekst">
    <w:name w:val="Balloon Text"/>
    <w:basedOn w:val="Normal"/>
    <w:link w:val="MarkeringsbobletekstTegn"/>
    <w:rsid w:val="005F71D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5F71D8"/>
    <w:rPr>
      <w:rFonts w:ascii="Tahoma" w:hAnsi="Tahoma" w:cs="Tahoma"/>
      <w:kern w:val="28"/>
      <w:sz w:val="16"/>
      <w:szCs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A72D8D"/>
    <w:rPr>
      <w:rFonts w:ascii="Arial" w:hAnsi="Arial" w:cs="Arial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1749</Words>
  <Characters>10139</Characters>
  <Application>Microsoft Office Word</Application>
  <DocSecurity>0</DocSecurity>
  <Lines>84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Overskrifter</vt:lpstr>
      </vt:variant>
      <vt:variant>
        <vt:i4>11</vt:i4>
      </vt:variant>
    </vt:vector>
  </HeadingPairs>
  <TitlesOfParts>
    <vt:vector size="12" baseType="lpstr">
      <vt:lpstr>Til kapitel 5: Rentedannelse</vt:lpstr>
      <vt:lpstr>Opgave 6.2</vt:lpstr>
      <vt:lpstr>Opgave 6.3</vt:lpstr>
      <vt:lpstr>Opgave 6.4</vt:lpstr>
      <vt:lpstr>Opgave 6.5</vt:lpstr>
      <vt:lpstr>Opgave 6.6</vt:lpstr>
      <vt:lpstr>Opgave 6.7</vt:lpstr>
      <vt:lpstr>Opgave 6.8</vt:lpstr>
      <vt:lpstr>Opgave 6.9</vt:lpstr>
      <vt:lpstr>Opgave 6.10</vt:lpstr>
      <vt:lpstr>Opgave 6.11</vt:lpstr>
      <vt:lpstr>Opgave 6.12</vt:lpstr>
    </vt:vector>
  </TitlesOfParts>
  <Company>Holstebro Handelsskole</Company>
  <LinksUpToDate>false</LinksUpToDate>
  <CharactersWithSpaces>11865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kapitel 5: Rentedannelse</dc:title>
  <dc:creator>Bang</dc:creator>
  <cp:lastModifiedBy>rha</cp:lastModifiedBy>
  <cp:revision>3</cp:revision>
  <dcterms:created xsi:type="dcterms:W3CDTF">2011-08-28T13:50:00Z</dcterms:created>
  <dcterms:modified xsi:type="dcterms:W3CDTF">2013-10-29T09:00:00Z</dcterms:modified>
</cp:coreProperties>
</file>