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8B" w:rsidRDefault="00A3698B" w:rsidP="00A3698B">
      <w:pPr>
        <w:jc w:val="center"/>
        <w:rPr>
          <w:rFonts w:ascii="Arial" w:hAnsi="Arial" w:cs="Arial"/>
          <w:b/>
          <w:noProof/>
          <w:sz w:val="52"/>
          <w:szCs w:val="52"/>
        </w:rPr>
      </w:pPr>
    </w:p>
    <w:p w:rsidR="00A3698B" w:rsidRDefault="00A3698B" w:rsidP="00A3698B">
      <w:pPr>
        <w:jc w:val="center"/>
        <w:rPr>
          <w:rFonts w:ascii="Arial" w:hAnsi="Arial" w:cs="Arial"/>
          <w:b/>
          <w:noProof/>
          <w:sz w:val="52"/>
          <w:szCs w:val="52"/>
        </w:rPr>
      </w:pPr>
      <w:r w:rsidRPr="00874D48">
        <w:rPr>
          <w:rFonts w:ascii="Arial" w:hAnsi="Arial" w:cs="Arial"/>
          <w:b/>
          <w:noProof/>
          <w:sz w:val="52"/>
          <w:szCs w:val="52"/>
        </w:rPr>
        <w:t>Værdiansættelse af Pandora</w:t>
      </w:r>
    </w:p>
    <w:p w:rsidR="00A3698B" w:rsidRDefault="00A3698B" w:rsidP="00A3698B">
      <w:pPr>
        <w:jc w:val="center"/>
        <w:rPr>
          <w:rFonts w:ascii="Arial" w:hAnsi="Arial" w:cs="Arial"/>
          <w:b/>
          <w:noProof/>
          <w:sz w:val="52"/>
          <w:szCs w:val="52"/>
        </w:rPr>
      </w:pPr>
      <w:r>
        <w:rPr>
          <w:rFonts w:ascii="Arial" w:hAnsi="Arial" w:cs="Arial"/>
          <w:b/>
          <w:noProof/>
          <w:sz w:val="52"/>
          <w:szCs w:val="52"/>
        </w:rPr>
        <w:t>ud fra</w:t>
      </w:r>
    </w:p>
    <w:p w:rsidR="00A3698B" w:rsidRPr="00874D48" w:rsidRDefault="00A3698B" w:rsidP="00A3698B">
      <w:pPr>
        <w:jc w:val="center"/>
        <w:rPr>
          <w:rFonts w:ascii="Arial" w:hAnsi="Arial" w:cs="Arial"/>
          <w:b/>
          <w:noProof/>
          <w:sz w:val="52"/>
          <w:szCs w:val="52"/>
        </w:rPr>
      </w:pPr>
      <w:r>
        <w:rPr>
          <w:rFonts w:ascii="Arial" w:hAnsi="Arial" w:cs="Arial"/>
          <w:b/>
          <w:noProof/>
          <w:sz w:val="52"/>
          <w:szCs w:val="52"/>
        </w:rPr>
        <w:t>Discounted Cash Flow modellen</w:t>
      </w:r>
    </w:p>
    <w:p w:rsidR="00A3698B" w:rsidRDefault="00A3698B" w:rsidP="00A3698B">
      <w:pPr>
        <w:jc w:val="center"/>
      </w:pPr>
      <w:r>
        <w:rPr>
          <w:rFonts w:ascii="Arial" w:hAnsi="Arial" w:cs="Arial"/>
          <w:noProof/>
          <w:sz w:val="20"/>
          <w:szCs w:val="20"/>
          <w:lang w:eastAsia="da-DK"/>
        </w:rPr>
        <w:drawing>
          <wp:inline distT="0" distB="0" distL="0" distR="0">
            <wp:extent cx="5581650" cy="3367596"/>
            <wp:effectExtent l="0" t="0" r="0" b="0"/>
            <wp:docPr id="1" name="il_fi" descr="http://www.urecomm.com/new/wp-content/uploads/2012/10/pandora-bracelet-red-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recomm.com/new/wp-content/uploads/2012/10/pandora-bracelet-red-set.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650" cy="3367596"/>
                    </a:xfrm>
                    <a:prstGeom prst="rect">
                      <a:avLst/>
                    </a:prstGeom>
                    <a:noFill/>
                    <a:ln>
                      <a:noFill/>
                    </a:ln>
                  </pic:spPr>
                </pic:pic>
              </a:graphicData>
            </a:graphic>
          </wp:inline>
        </w:drawing>
      </w:r>
    </w:p>
    <w:p w:rsidR="00A3698B" w:rsidRDefault="00A3698B" w:rsidP="00A3698B"/>
    <w:p w:rsidR="00A3698B" w:rsidRDefault="00A3698B" w:rsidP="00A3698B">
      <w:pPr>
        <w:jc w:val="center"/>
      </w:pPr>
      <w:r>
        <w:rPr>
          <w:rFonts w:ascii="Arial" w:hAnsi="Arial" w:cs="Arial"/>
          <w:noProof/>
          <w:color w:val="0000FF"/>
          <w:sz w:val="27"/>
          <w:szCs w:val="27"/>
          <w:lang w:eastAsia="da-DK"/>
        </w:rPr>
        <w:drawing>
          <wp:inline distT="0" distB="0" distL="0" distR="0">
            <wp:extent cx="2647950" cy="1724025"/>
            <wp:effectExtent l="0" t="0" r="0" b="9525"/>
            <wp:docPr id="2" name="rg_hi" descr="http://t0.gstatic.com/images?q=tbn:ANd9GcSarfirMKwJMDVCZmjw9vgJFTssxKvd0aBjTsBTR2koskByujRNO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arfirMKwJMDVCZmjw9vgJFTssxKvd0aBjTsBTR2koskByujRNOg">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p w:rsidR="00A3698B" w:rsidRDefault="00A3698B">
      <w:pPr>
        <w:pStyle w:val="Overskrift"/>
        <w:rPr>
          <w:rFonts w:asciiTheme="minorHAnsi" w:eastAsiaTheme="minorHAnsi" w:hAnsiTheme="minorHAnsi" w:cstheme="minorBidi"/>
          <w:b w:val="0"/>
          <w:bCs w:val="0"/>
          <w:color w:val="auto"/>
          <w:sz w:val="22"/>
          <w:szCs w:val="22"/>
          <w:lang w:eastAsia="en-US"/>
        </w:rPr>
      </w:pPr>
    </w:p>
    <w:p w:rsidR="00A3698B" w:rsidRDefault="00A3698B" w:rsidP="00A3698B"/>
    <w:p w:rsidR="00A3698B" w:rsidRPr="00A3698B" w:rsidRDefault="00A3698B" w:rsidP="00A3698B"/>
    <w:p w:rsidR="00A3698B" w:rsidRPr="00A3698B" w:rsidRDefault="00A3698B" w:rsidP="00A3698B"/>
    <w:sdt>
      <w:sdtPr>
        <w:rPr>
          <w:rFonts w:asciiTheme="minorHAnsi" w:eastAsiaTheme="minorHAnsi" w:hAnsiTheme="minorHAnsi" w:cstheme="minorBidi"/>
          <w:b w:val="0"/>
          <w:bCs w:val="0"/>
          <w:color w:val="auto"/>
          <w:sz w:val="22"/>
          <w:szCs w:val="22"/>
          <w:lang w:eastAsia="en-US"/>
        </w:rPr>
        <w:id w:val="-1261601595"/>
        <w:docPartObj>
          <w:docPartGallery w:val="Table of Contents"/>
          <w:docPartUnique/>
        </w:docPartObj>
      </w:sdtPr>
      <w:sdtEndPr>
        <w:rPr>
          <w:sz w:val="24"/>
        </w:rPr>
      </w:sdtEndPr>
      <w:sdtContent>
        <w:p w:rsidR="001A0E29" w:rsidRPr="004E4007" w:rsidRDefault="001A0E29">
          <w:pPr>
            <w:pStyle w:val="Overskrift"/>
            <w:rPr>
              <w:rFonts w:asciiTheme="minorHAnsi" w:hAnsiTheme="minorHAnsi"/>
            </w:rPr>
          </w:pPr>
          <w:r w:rsidRPr="004E4007">
            <w:rPr>
              <w:rFonts w:asciiTheme="minorHAnsi" w:hAnsiTheme="minorHAnsi"/>
            </w:rPr>
            <w:t>Indholdsfortegnelse</w:t>
          </w:r>
          <w:r w:rsidR="000F2A6E">
            <w:rPr>
              <w:rFonts w:asciiTheme="minorHAnsi" w:hAnsiTheme="minorHAnsi"/>
            </w:rPr>
            <w:softHyphen/>
          </w:r>
        </w:p>
        <w:p w:rsidR="005E5A79" w:rsidRDefault="002E534F">
          <w:pPr>
            <w:pStyle w:val="Indholdsfortegnelse1"/>
            <w:tabs>
              <w:tab w:val="right" w:leader="dot" w:pos="9628"/>
            </w:tabs>
            <w:rPr>
              <w:rFonts w:eastAsiaTheme="minorEastAsia"/>
              <w:noProof/>
              <w:sz w:val="22"/>
              <w:lang w:eastAsia="da-DK"/>
            </w:rPr>
          </w:pPr>
          <w:r w:rsidRPr="002E534F">
            <w:fldChar w:fldCharType="begin"/>
          </w:r>
          <w:r w:rsidR="001A0E29" w:rsidRPr="004E4007">
            <w:instrText xml:space="preserve"> TOC \o "1-3" \h \z \u </w:instrText>
          </w:r>
          <w:r w:rsidRPr="002E534F">
            <w:fldChar w:fldCharType="separate"/>
          </w:r>
          <w:hyperlink w:anchor="_Toc351290057" w:history="1">
            <w:r w:rsidR="005E5A79" w:rsidRPr="00C01A8A">
              <w:rPr>
                <w:rStyle w:val="Hyperlink"/>
                <w:noProof/>
              </w:rPr>
              <w:t>1.0 Indledning</w:t>
            </w:r>
            <w:r w:rsidR="005E5A79">
              <w:rPr>
                <w:noProof/>
                <w:webHidden/>
              </w:rPr>
              <w:tab/>
            </w:r>
            <w:r>
              <w:rPr>
                <w:noProof/>
                <w:webHidden/>
              </w:rPr>
              <w:fldChar w:fldCharType="begin"/>
            </w:r>
            <w:r w:rsidR="005E5A79">
              <w:rPr>
                <w:noProof/>
                <w:webHidden/>
              </w:rPr>
              <w:instrText xml:space="preserve"> PAGEREF _Toc351290057 \h </w:instrText>
            </w:r>
            <w:r>
              <w:rPr>
                <w:noProof/>
                <w:webHidden/>
              </w:rPr>
            </w:r>
            <w:r>
              <w:rPr>
                <w:noProof/>
                <w:webHidden/>
              </w:rPr>
              <w:fldChar w:fldCharType="separate"/>
            </w:r>
            <w:r w:rsidR="005D00EE">
              <w:rPr>
                <w:noProof/>
                <w:webHidden/>
              </w:rPr>
              <w:t>3</w:t>
            </w:r>
            <w:r>
              <w:rPr>
                <w:noProof/>
                <w:webHidden/>
              </w:rPr>
              <w:fldChar w:fldCharType="end"/>
            </w:r>
          </w:hyperlink>
        </w:p>
        <w:p w:rsidR="005E5A79" w:rsidRDefault="002E534F">
          <w:pPr>
            <w:pStyle w:val="Indholdsfortegnelse1"/>
            <w:tabs>
              <w:tab w:val="right" w:leader="dot" w:pos="9628"/>
            </w:tabs>
            <w:rPr>
              <w:rFonts w:eastAsiaTheme="minorEastAsia"/>
              <w:noProof/>
              <w:sz w:val="22"/>
              <w:lang w:eastAsia="da-DK"/>
            </w:rPr>
          </w:pPr>
          <w:hyperlink w:anchor="_Toc351290058" w:history="1">
            <w:r w:rsidR="005E5A79" w:rsidRPr="00C01A8A">
              <w:rPr>
                <w:rStyle w:val="Hyperlink"/>
                <w:noProof/>
              </w:rPr>
              <w:t>2.0 Problemformulering</w:t>
            </w:r>
            <w:r w:rsidR="005E5A79">
              <w:rPr>
                <w:noProof/>
                <w:webHidden/>
              </w:rPr>
              <w:tab/>
            </w:r>
            <w:r>
              <w:rPr>
                <w:noProof/>
                <w:webHidden/>
              </w:rPr>
              <w:fldChar w:fldCharType="begin"/>
            </w:r>
            <w:r w:rsidR="005E5A79">
              <w:rPr>
                <w:noProof/>
                <w:webHidden/>
              </w:rPr>
              <w:instrText xml:space="preserve"> PAGEREF _Toc351290058 \h </w:instrText>
            </w:r>
            <w:r>
              <w:rPr>
                <w:noProof/>
                <w:webHidden/>
              </w:rPr>
            </w:r>
            <w:r>
              <w:rPr>
                <w:noProof/>
                <w:webHidden/>
              </w:rPr>
              <w:fldChar w:fldCharType="separate"/>
            </w:r>
            <w:r w:rsidR="005D00EE">
              <w:rPr>
                <w:noProof/>
                <w:webHidden/>
              </w:rPr>
              <w:t>4</w:t>
            </w:r>
            <w:r>
              <w:rPr>
                <w:noProof/>
                <w:webHidden/>
              </w:rPr>
              <w:fldChar w:fldCharType="end"/>
            </w:r>
          </w:hyperlink>
        </w:p>
        <w:p w:rsidR="005E5A79" w:rsidRDefault="002E534F">
          <w:pPr>
            <w:pStyle w:val="Indholdsfortegnelse1"/>
            <w:tabs>
              <w:tab w:val="right" w:leader="dot" w:pos="9628"/>
            </w:tabs>
            <w:rPr>
              <w:rFonts w:eastAsiaTheme="minorEastAsia"/>
              <w:noProof/>
              <w:sz w:val="22"/>
              <w:lang w:eastAsia="da-DK"/>
            </w:rPr>
          </w:pPr>
          <w:hyperlink w:anchor="_Toc351290059" w:history="1">
            <w:r w:rsidR="005E5A79" w:rsidRPr="00C01A8A">
              <w:rPr>
                <w:rStyle w:val="Hyperlink"/>
                <w:noProof/>
              </w:rPr>
              <w:t>3.0 DCF Værdiansættelsen / metode</w:t>
            </w:r>
            <w:r w:rsidR="005E5A79">
              <w:rPr>
                <w:noProof/>
                <w:webHidden/>
              </w:rPr>
              <w:tab/>
            </w:r>
            <w:r>
              <w:rPr>
                <w:noProof/>
                <w:webHidden/>
              </w:rPr>
              <w:fldChar w:fldCharType="begin"/>
            </w:r>
            <w:r w:rsidR="005E5A79">
              <w:rPr>
                <w:noProof/>
                <w:webHidden/>
              </w:rPr>
              <w:instrText xml:space="preserve"> PAGEREF _Toc351290059 \h </w:instrText>
            </w:r>
            <w:r>
              <w:rPr>
                <w:noProof/>
                <w:webHidden/>
              </w:rPr>
            </w:r>
            <w:r>
              <w:rPr>
                <w:noProof/>
                <w:webHidden/>
              </w:rPr>
              <w:fldChar w:fldCharType="separate"/>
            </w:r>
            <w:r w:rsidR="005D00EE">
              <w:rPr>
                <w:noProof/>
                <w:webHidden/>
              </w:rPr>
              <w:t>5</w:t>
            </w:r>
            <w:r>
              <w:rPr>
                <w:noProof/>
                <w:webHidden/>
              </w:rPr>
              <w:fldChar w:fldCharType="end"/>
            </w:r>
          </w:hyperlink>
        </w:p>
        <w:p w:rsidR="005E5A79" w:rsidRDefault="002E534F">
          <w:pPr>
            <w:pStyle w:val="Indholdsfortegnelse1"/>
            <w:tabs>
              <w:tab w:val="right" w:leader="dot" w:pos="9628"/>
            </w:tabs>
            <w:rPr>
              <w:rFonts w:eastAsiaTheme="minorEastAsia"/>
              <w:noProof/>
              <w:sz w:val="22"/>
              <w:lang w:eastAsia="da-DK"/>
            </w:rPr>
          </w:pPr>
          <w:hyperlink w:anchor="_Toc351290060" w:history="1">
            <w:r w:rsidR="005E5A79" w:rsidRPr="00C01A8A">
              <w:rPr>
                <w:rStyle w:val="Hyperlink"/>
                <w:noProof/>
              </w:rPr>
              <w:t>4.0 Budgettering og afgrænsning</w:t>
            </w:r>
            <w:r w:rsidR="005E5A79">
              <w:rPr>
                <w:noProof/>
                <w:webHidden/>
              </w:rPr>
              <w:tab/>
            </w:r>
            <w:r>
              <w:rPr>
                <w:noProof/>
                <w:webHidden/>
              </w:rPr>
              <w:fldChar w:fldCharType="begin"/>
            </w:r>
            <w:r w:rsidR="005E5A79">
              <w:rPr>
                <w:noProof/>
                <w:webHidden/>
              </w:rPr>
              <w:instrText xml:space="preserve"> PAGEREF _Toc351290060 \h </w:instrText>
            </w:r>
            <w:r>
              <w:rPr>
                <w:noProof/>
                <w:webHidden/>
              </w:rPr>
            </w:r>
            <w:r>
              <w:rPr>
                <w:noProof/>
                <w:webHidden/>
              </w:rPr>
              <w:fldChar w:fldCharType="separate"/>
            </w:r>
            <w:r w:rsidR="005D00EE">
              <w:rPr>
                <w:noProof/>
                <w:webHidden/>
              </w:rPr>
              <w:t>6</w:t>
            </w:r>
            <w:r>
              <w:rPr>
                <w:noProof/>
                <w:webHidden/>
              </w:rPr>
              <w:fldChar w:fldCharType="end"/>
            </w:r>
          </w:hyperlink>
        </w:p>
        <w:p w:rsidR="005E5A79" w:rsidRDefault="002E534F">
          <w:pPr>
            <w:pStyle w:val="Indholdsfortegnelse1"/>
            <w:tabs>
              <w:tab w:val="right" w:leader="dot" w:pos="9628"/>
            </w:tabs>
            <w:rPr>
              <w:rFonts w:eastAsiaTheme="minorEastAsia"/>
              <w:noProof/>
              <w:sz w:val="22"/>
              <w:lang w:eastAsia="da-DK"/>
            </w:rPr>
          </w:pPr>
          <w:hyperlink w:anchor="_Toc351290061" w:history="1">
            <w:r w:rsidR="005E5A79" w:rsidRPr="00C01A8A">
              <w:rPr>
                <w:rStyle w:val="Hyperlink"/>
                <w:noProof/>
              </w:rPr>
              <w:t>5.0 Værdiansættelsen</w:t>
            </w:r>
            <w:r w:rsidR="005E5A79">
              <w:rPr>
                <w:noProof/>
                <w:webHidden/>
              </w:rPr>
              <w:tab/>
            </w:r>
            <w:r>
              <w:rPr>
                <w:noProof/>
                <w:webHidden/>
              </w:rPr>
              <w:fldChar w:fldCharType="begin"/>
            </w:r>
            <w:r w:rsidR="005E5A79">
              <w:rPr>
                <w:noProof/>
                <w:webHidden/>
              </w:rPr>
              <w:instrText xml:space="preserve"> PAGEREF _Toc351290061 \h </w:instrText>
            </w:r>
            <w:r>
              <w:rPr>
                <w:noProof/>
                <w:webHidden/>
              </w:rPr>
            </w:r>
            <w:r>
              <w:rPr>
                <w:noProof/>
                <w:webHidden/>
              </w:rPr>
              <w:fldChar w:fldCharType="separate"/>
            </w:r>
            <w:r w:rsidR="005D00EE">
              <w:rPr>
                <w:noProof/>
                <w:webHidden/>
              </w:rPr>
              <w:t>7</w:t>
            </w:r>
            <w:r>
              <w:rPr>
                <w:noProof/>
                <w:webHidden/>
              </w:rPr>
              <w:fldChar w:fldCharType="end"/>
            </w:r>
          </w:hyperlink>
        </w:p>
        <w:p w:rsidR="005E5A79" w:rsidRDefault="002E534F">
          <w:pPr>
            <w:pStyle w:val="Indholdsfortegnelse2"/>
            <w:tabs>
              <w:tab w:val="right" w:leader="dot" w:pos="9628"/>
            </w:tabs>
            <w:rPr>
              <w:noProof/>
              <w:sz w:val="22"/>
            </w:rPr>
          </w:pPr>
          <w:hyperlink w:anchor="_Toc351290062" w:history="1">
            <w:r w:rsidR="005E5A79" w:rsidRPr="00C01A8A">
              <w:rPr>
                <w:rStyle w:val="Hyperlink"/>
                <w:noProof/>
              </w:rPr>
              <w:t>5.1 Det Frie Cash flow</w:t>
            </w:r>
            <w:r w:rsidR="005E5A79">
              <w:rPr>
                <w:noProof/>
                <w:webHidden/>
              </w:rPr>
              <w:tab/>
            </w:r>
            <w:r>
              <w:rPr>
                <w:noProof/>
                <w:webHidden/>
              </w:rPr>
              <w:fldChar w:fldCharType="begin"/>
            </w:r>
            <w:r w:rsidR="005E5A79">
              <w:rPr>
                <w:noProof/>
                <w:webHidden/>
              </w:rPr>
              <w:instrText xml:space="preserve"> PAGEREF _Toc351290062 \h </w:instrText>
            </w:r>
            <w:r>
              <w:rPr>
                <w:noProof/>
                <w:webHidden/>
              </w:rPr>
            </w:r>
            <w:r>
              <w:rPr>
                <w:noProof/>
                <w:webHidden/>
              </w:rPr>
              <w:fldChar w:fldCharType="separate"/>
            </w:r>
            <w:r w:rsidR="005D00EE">
              <w:rPr>
                <w:noProof/>
                <w:webHidden/>
              </w:rPr>
              <w:t>7</w:t>
            </w:r>
            <w:r>
              <w:rPr>
                <w:noProof/>
                <w:webHidden/>
              </w:rPr>
              <w:fldChar w:fldCharType="end"/>
            </w:r>
          </w:hyperlink>
        </w:p>
        <w:p w:rsidR="005E5A79" w:rsidRDefault="002E534F">
          <w:pPr>
            <w:pStyle w:val="Indholdsfortegnelse2"/>
            <w:tabs>
              <w:tab w:val="right" w:leader="dot" w:pos="9628"/>
            </w:tabs>
            <w:rPr>
              <w:noProof/>
              <w:sz w:val="22"/>
            </w:rPr>
          </w:pPr>
          <w:hyperlink w:anchor="_Toc351290063" w:history="1">
            <w:r w:rsidR="005E5A79" w:rsidRPr="00C01A8A">
              <w:rPr>
                <w:rStyle w:val="Hyperlink"/>
                <w:noProof/>
              </w:rPr>
              <w:t>5.2 Formel for WACC</w:t>
            </w:r>
            <w:r w:rsidR="005E5A79">
              <w:rPr>
                <w:noProof/>
                <w:webHidden/>
              </w:rPr>
              <w:tab/>
            </w:r>
            <w:r>
              <w:rPr>
                <w:noProof/>
                <w:webHidden/>
              </w:rPr>
              <w:fldChar w:fldCharType="begin"/>
            </w:r>
            <w:r w:rsidR="005E5A79">
              <w:rPr>
                <w:noProof/>
                <w:webHidden/>
              </w:rPr>
              <w:instrText xml:space="preserve"> PAGEREF _Toc351290063 \h </w:instrText>
            </w:r>
            <w:r>
              <w:rPr>
                <w:noProof/>
                <w:webHidden/>
              </w:rPr>
            </w:r>
            <w:r>
              <w:rPr>
                <w:noProof/>
                <w:webHidden/>
              </w:rPr>
              <w:fldChar w:fldCharType="separate"/>
            </w:r>
            <w:r w:rsidR="005D00EE">
              <w:rPr>
                <w:noProof/>
                <w:webHidden/>
              </w:rPr>
              <w:t>8</w:t>
            </w:r>
            <w:r>
              <w:rPr>
                <w:noProof/>
                <w:webHidden/>
              </w:rPr>
              <w:fldChar w:fldCharType="end"/>
            </w:r>
          </w:hyperlink>
        </w:p>
        <w:p w:rsidR="005E5A79" w:rsidRDefault="002E534F">
          <w:pPr>
            <w:pStyle w:val="Indholdsfortegnelse3"/>
            <w:tabs>
              <w:tab w:val="right" w:leader="dot" w:pos="9628"/>
            </w:tabs>
            <w:rPr>
              <w:noProof/>
              <w:sz w:val="22"/>
            </w:rPr>
          </w:pPr>
          <w:hyperlink w:anchor="_Toc351290064" w:history="1">
            <w:r w:rsidR="005E5A79" w:rsidRPr="00C01A8A">
              <w:rPr>
                <w:rStyle w:val="Hyperlink"/>
                <w:noProof/>
              </w:rPr>
              <w:t>5.2.1 Kapitalstrukturen</w:t>
            </w:r>
            <w:r w:rsidR="005E5A79">
              <w:rPr>
                <w:noProof/>
                <w:webHidden/>
              </w:rPr>
              <w:tab/>
            </w:r>
            <w:r>
              <w:rPr>
                <w:noProof/>
                <w:webHidden/>
              </w:rPr>
              <w:fldChar w:fldCharType="begin"/>
            </w:r>
            <w:r w:rsidR="005E5A79">
              <w:rPr>
                <w:noProof/>
                <w:webHidden/>
              </w:rPr>
              <w:instrText xml:space="preserve"> PAGEREF _Toc351290064 \h </w:instrText>
            </w:r>
            <w:r>
              <w:rPr>
                <w:noProof/>
                <w:webHidden/>
              </w:rPr>
            </w:r>
            <w:r>
              <w:rPr>
                <w:noProof/>
                <w:webHidden/>
              </w:rPr>
              <w:fldChar w:fldCharType="separate"/>
            </w:r>
            <w:r w:rsidR="005D00EE">
              <w:rPr>
                <w:noProof/>
                <w:webHidden/>
              </w:rPr>
              <w:t>9</w:t>
            </w:r>
            <w:r>
              <w:rPr>
                <w:noProof/>
                <w:webHidden/>
              </w:rPr>
              <w:fldChar w:fldCharType="end"/>
            </w:r>
          </w:hyperlink>
        </w:p>
        <w:p w:rsidR="005E5A79" w:rsidRDefault="002E534F">
          <w:pPr>
            <w:pStyle w:val="Indholdsfortegnelse3"/>
            <w:tabs>
              <w:tab w:val="right" w:leader="dot" w:pos="9628"/>
            </w:tabs>
            <w:rPr>
              <w:noProof/>
              <w:sz w:val="22"/>
            </w:rPr>
          </w:pPr>
          <w:hyperlink w:anchor="_Toc351290065" w:history="1">
            <w:r w:rsidR="005E5A79" w:rsidRPr="00C01A8A">
              <w:rPr>
                <w:rStyle w:val="Hyperlink"/>
                <w:noProof/>
              </w:rPr>
              <w:t>5.2.2 Ejernes afkastningskrav.</w:t>
            </w:r>
            <w:r w:rsidR="005E5A79">
              <w:rPr>
                <w:noProof/>
                <w:webHidden/>
              </w:rPr>
              <w:tab/>
            </w:r>
            <w:r>
              <w:rPr>
                <w:noProof/>
                <w:webHidden/>
              </w:rPr>
              <w:fldChar w:fldCharType="begin"/>
            </w:r>
            <w:r w:rsidR="005E5A79">
              <w:rPr>
                <w:noProof/>
                <w:webHidden/>
              </w:rPr>
              <w:instrText xml:space="preserve"> PAGEREF _Toc351290065 \h </w:instrText>
            </w:r>
            <w:r>
              <w:rPr>
                <w:noProof/>
                <w:webHidden/>
              </w:rPr>
            </w:r>
            <w:r>
              <w:rPr>
                <w:noProof/>
                <w:webHidden/>
              </w:rPr>
              <w:fldChar w:fldCharType="separate"/>
            </w:r>
            <w:r w:rsidR="005D00EE">
              <w:rPr>
                <w:noProof/>
                <w:webHidden/>
              </w:rPr>
              <w:t>9</w:t>
            </w:r>
            <w:r>
              <w:rPr>
                <w:noProof/>
                <w:webHidden/>
              </w:rPr>
              <w:fldChar w:fldCharType="end"/>
            </w:r>
          </w:hyperlink>
        </w:p>
        <w:p w:rsidR="005E5A79" w:rsidRDefault="002E534F">
          <w:pPr>
            <w:pStyle w:val="Indholdsfortegnelse3"/>
            <w:tabs>
              <w:tab w:val="right" w:leader="dot" w:pos="9628"/>
            </w:tabs>
            <w:rPr>
              <w:noProof/>
              <w:sz w:val="22"/>
            </w:rPr>
          </w:pPr>
          <w:hyperlink w:anchor="_Toc351290066" w:history="1">
            <w:r w:rsidR="005E5A79" w:rsidRPr="00C01A8A">
              <w:rPr>
                <w:rStyle w:val="Hyperlink"/>
                <w:noProof/>
                <w:shd w:val="clear" w:color="auto" w:fill="FFFFFF"/>
              </w:rPr>
              <w:t>5.2.3 Beta-værdien</w:t>
            </w:r>
            <w:r w:rsidR="005E5A79">
              <w:rPr>
                <w:noProof/>
                <w:webHidden/>
              </w:rPr>
              <w:tab/>
            </w:r>
            <w:r>
              <w:rPr>
                <w:noProof/>
                <w:webHidden/>
              </w:rPr>
              <w:fldChar w:fldCharType="begin"/>
            </w:r>
            <w:r w:rsidR="005E5A79">
              <w:rPr>
                <w:noProof/>
                <w:webHidden/>
              </w:rPr>
              <w:instrText xml:space="preserve"> PAGEREF _Toc351290066 \h </w:instrText>
            </w:r>
            <w:r>
              <w:rPr>
                <w:noProof/>
                <w:webHidden/>
              </w:rPr>
            </w:r>
            <w:r>
              <w:rPr>
                <w:noProof/>
                <w:webHidden/>
              </w:rPr>
              <w:fldChar w:fldCharType="separate"/>
            </w:r>
            <w:r w:rsidR="005D00EE">
              <w:rPr>
                <w:noProof/>
                <w:webHidden/>
              </w:rPr>
              <w:t>10</w:t>
            </w:r>
            <w:r>
              <w:rPr>
                <w:noProof/>
                <w:webHidden/>
              </w:rPr>
              <w:fldChar w:fldCharType="end"/>
            </w:r>
          </w:hyperlink>
        </w:p>
        <w:p w:rsidR="005E5A79" w:rsidRDefault="002E534F">
          <w:pPr>
            <w:pStyle w:val="Indholdsfortegnelse3"/>
            <w:tabs>
              <w:tab w:val="right" w:leader="dot" w:pos="9628"/>
            </w:tabs>
            <w:rPr>
              <w:noProof/>
              <w:sz w:val="22"/>
            </w:rPr>
          </w:pPr>
          <w:hyperlink w:anchor="_Toc351290067" w:history="1">
            <w:r w:rsidR="005E5A79" w:rsidRPr="00C01A8A">
              <w:rPr>
                <w:rStyle w:val="Hyperlink"/>
                <w:noProof/>
              </w:rPr>
              <w:t>5.2.4 Fremmedkapitalens afkastningskrav.</w:t>
            </w:r>
            <w:r w:rsidR="005E5A79">
              <w:rPr>
                <w:noProof/>
                <w:webHidden/>
              </w:rPr>
              <w:tab/>
            </w:r>
            <w:r>
              <w:rPr>
                <w:noProof/>
                <w:webHidden/>
              </w:rPr>
              <w:fldChar w:fldCharType="begin"/>
            </w:r>
            <w:r w:rsidR="005E5A79">
              <w:rPr>
                <w:noProof/>
                <w:webHidden/>
              </w:rPr>
              <w:instrText xml:space="preserve"> PAGEREF _Toc351290067 \h </w:instrText>
            </w:r>
            <w:r>
              <w:rPr>
                <w:noProof/>
                <w:webHidden/>
              </w:rPr>
            </w:r>
            <w:r>
              <w:rPr>
                <w:noProof/>
                <w:webHidden/>
              </w:rPr>
              <w:fldChar w:fldCharType="separate"/>
            </w:r>
            <w:r w:rsidR="005D00EE">
              <w:rPr>
                <w:noProof/>
                <w:webHidden/>
              </w:rPr>
              <w:t>10</w:t>
            </w:r>
            <w:r>
              <w:rPr>
                <w:noProof/>
                <w:webHidden/>
              </w:rPr>
              <w:fldChar w:fldCharType="end"/>
            </w:r>
          </w:hyperlink>
        </w:p>
        <w:p w:rsidR="005E5A79" w:rsidRDefault="002E534F">
          <w:pPr>
            <w:pStyle w:val="Indholdsfortegnelse3"/>
            <w:tabs>
              <w:tab w:val="right" w:leader="dot" w:pos="9628"/>
            </w:tabs>
            <w:rPr>
              <w:noProof/>
              <w:sz w:val="22"/>
            </w:rPr>
          </w:pPr>
          <w:hyperlink w:anchor="_Toc351290068" w:history="1">
            <w:r w:rsidR="005E5A79" w:rsidRPr="00C01A8A">
              <w:rPr>
                <w:rStyle w:val="Hyperlink"/>
                <w:noProof/>
              </w:rPr>
              <w:t>5.2.5 Udregning af Kapitalomkostninger - WACC.</w:t>
            </w:r>
            <w:r w:rsidR="005E5A79">
              <w:rPr>
                <w:noProof/>
                <w:webHidden/>
              </w:rPr>
              <w:tab/>
            </w:r>
            <w:r>
              <w:rPr>
                <w:noProof/>
                <w:webHidden/>
              </w:rPr>
              <w:fldChar w:fldCharType="begin"/>
            </w:r>
            <w:r w:rsidR="005E5A79">
              <w:rPr>
                <w:noProof/>
                <w:webHidden/>
              </w:rPr>
              <w:instrText xml:space="preserve"> PAGEREF _Toc351290068 \h </w:instrText>
            </w:r>
            <w:r>
              <w:rPr>
                <w:noProof/>
                <w:webHidden/>
              </w:rPr>
            </w:r>
            <w:r>
              <w:rPr>
                <w:noProof/>
                <w:webHidden/>
              </w:rPr>
              <w:fldChar w:fldCharType="separate"/>
            </w:r>
            <w:r w:rsidR="005D00EE">
              <w:rPr>
                <w:noProof/>
                <w:webHidden/>
              </w:rPr>
              <w:t>11</w:t>
            </w:r>
            <w:r>
              <w:rPr>
                <w:noProof/>
                <w:webHidden/>
              </w:rPr>
              <w:fldChar w:fldCharType="end"/>
            </w:r>
          </w:hyperlink>
        </w:p>
        <w:p w:rsidR="005E5A79" w:rsidRDefault="002E534F">
          <w:pPr>
            <w:pStyle w:val="Indholdsfortegnelse1"/>
            <w:tabs>
              <w:tab w:val="right" w:leader="dot" w:pos="9628"/>
            </w:tabs>
            <w:rPr>
              <w:rFonts w:eastAsiaTheme="minorEastAsia"/>
              <w:noProof/>
              <w:sz w:val="22"/>
              <w:lang w:eastAsia="da-DK"/>
            </w:rPr>
          </w:pPr>
          <w:hyperlink w:anchor="_Toc351290069" w:history="1">
            <w:r w:rsidR="005E5A79" w:rsidRPr="00C01A8A">
              <w:rPr>
                <w:rStyle w:val="Hyperlink"/>
                <w:noProof/>
              </w:rPr>
              <w:t>6.0 Tilbagediskontering af det frie Cash flow</w:t>
            </w:r>
            <w:r w:rsidR="005E5A79">
              <w:rPr>
                <w:noProof/>
                <w:webHidden/>
              </w:rPr>
              <w:tab/>
            </w:r>
            <w:r>
              <w:rPr>
                <w:noProof/>
                <w:webHidden/>
              </w:rPr>
              <w:fldChar w:fldCharType="begin"/>
            </w:r>
            <w:r w:rsidR="005E5A79">
              <w:rPr>
                <w:noProof/>
                <w:webHidden/>
              </w:rPr>
              <w:instrText xml:space="preserve"> PAGEREF _Toc351290069 \h </w:instrText>
            </w:r>
            <w:r>
              <w:rPr>
                <w:noProof/>
                <w:webHidden/>
              </w:rPr>
            </w:r>
            <w:r>
              <w:rPr>
                <w:noProof/>
                <w:webHidden/>
              </w:rPr>
              <w:fldChar w:fldCharType="separate"/>
            </w:r>
            <w:r w:rsidR="005D00EE">
              <w:rPr>
                <w:noProof/>
                <w:webHidden/>
              </w:rPr>
              <w:t>11</w:t>
            </w:r>
            <w:r>
              <w:rPr>
                <w:noProof/>
                <w:webHidden/>
              </w:rPr>
              <w:fldChar w:fldCharType="end"/>
            </w:r>
          </w:hyperlink>
        </w:p>
        <w:p w:rsidR="005E5A79" w:rsidRDefault="002E534F">
          <w:pPr>
            <w:pStyle w:val="Indholdsfortegnelse1"/>
            <w:tabs>
              <w:tab w:val="right" w:leader="dot" w:pos="9628"/>
            </w:tabs>
            <w:rPr>
              <w:rFonts w:eastAsiaTheme="minorEastAsia"/>
              <w:noProof/>
              <w:sz w:val="22"/>
              <w:lang w:eastAsia="da-DK"/>
            </w:rPr>
          </w:pPr>
          <w:hyperlink w:anchor="_Toc351290070" w:history="1">
            <w:r w:rsidR="005E5A79" w:rsidRPr="00C01A8A">
              <w:rPr>
                <w:rStyle w:val="Hyperlink"/>
                <w:noProof/>
              </w:rPr>
              <w:t>7.0 Samlet værdi af egenkapitalen i Pandora</w:t>
            </w:r>
            <w:r w:rsidR="005E5A79">
              <w:rPr>
                <w:noProof/>
                <w:webHidden/>
              </w:rPr>
              <w:tab/>
            </w:r>
            <w:r>
              <w:rPr>
                <w:noProof/>
                <w:webHidden/>
              </w:rPr>
              <w:fldChar w:fldCharType="begin"/>
            </w:r>
            <w:r w:rsidR="005E5A79">
              <w:rPr>
                <w:noProof/>
                <w:webHidden/>
              </w:rPr>
              <w:instrText xml:space="preserve"> PAGEREF _Toc351290070 \h </w:instrText>
            </w:r>
            <w:r>
              <w:rPr>
                <w:noProof/>
                <w:webHidden/>
              </w:rPr>
            </w:r>
            <w:r>
              <w:rPr>
                <w:noProof/>
                <w:webHidden/>
              </w:rPr>
              <w:fldChar w:fldCharType="separate"/>
            </w:r>
            <w:r w:rsidR="005D00EE">
              <w:rPr>
                <w:noProof/>
                <w:webHidden/>
              </w:rPr>
              <w:t>12</w:t>
            </w:r>
            <w:r>
              <w:rPr>
                <w:noProof/>
                <w:webHidden/>
              </w:rPr>
              <w:fldChar w:fldCharType="end"/>
            </w:r>
          </w:hyperlink>
        </w:p>
        <w:p w:rsidR="005E5A79" w:rsidRDefault="002E534F">
          <w:pPr>
            <w:pStyle w:val="Indholdsfortegnelse1"/>
            <w:tabs>
              <w:tab w:val="right" w:leader="dot" w:pos="9628"/>
            </w:tabs>
            <w:rPr>
              <w:rFonts w:eastAsiaTheme="minorEastAsia"/>
              <w:noProof/>
              <w:sz w:val="22"/>
              <w:lang w:eastAsia="da-DK"/>
            </w:rPr>
          </w:pPr>
          <w:hyperlink w:anchor="_Toc351290071" w:history="1">
            <w:r w:rsidR="005E5A79" w:rsidRPr="00C01A8A">
              <w:rPr>
                <w:rStyle w:val="Hyperlink"/>
                <w:noProof/>
              </w:rPr>
              <w:t>8.0 Konklusion</w:t>
            </w:r>
            <w:r w:rsidR="005E5A79">
              <w:rPr>
                <w:noProof/>
                <w:webHidden/>
              </w:rPr>
              <w:tab/>
            </w:r>
            <w:r>
              <w:rPr>
                <w:noProof/>
                <w:webHidden/>
              </w:rPr>
              <w:fldChar w:fldCharType="begin"/>
            </w:r>
            <w:r w:rsidR="005E5A79">
              <w:rPr>
                <w:noProof/>
                <w:webHidden/>
              </w:rPr>
              <w:instrText xml:space="preserve"> PAGEREF _Toc351290071 \h </w:instrText>
            </w:r>
            <w:r>
              <w:rPr>
                <w:noProof/>
                <w:webHidden/>
              </w:rPr>
            </w:r>
            <w:r>
              <w:rPr>
                <w:noProof/>
                <w:webHidden/>
              </w:rPr>
              <w:fldChar w:fldCharType="separate"/>
            </w:r>
            <w:r w:rsidR="005D00EE">
              <w:rPr>
                <w:noProof/>
                <w:webHidden/>
              </w:rPr>
              <w:t>12</w:t>
            </w:r>
            <w:r>
              <w:rPr>
                <w:noProof/>
                <w:webHidden/>
              </w:rPr>
              <w:fldChar w:fldCharType="end"/>
            </w:r>
          </w:hyperlink>
        </w:p>
        <w:p w:rsidR="005E5A79" w:rsidRDefault="002E534F">
          <w:pPr>
            <w:pStyle w:val="Indholdsfortegnelse1"/>
            <w:tabs>
              <w:tab w:val="right" w:leader="dot" w:pos="9628"/>
            </w:tabs>
            <w:rPr>
              <w:rFonts w:eastAsiaTheme="minorEastAsia"/>
              <w:noProof/>
              <w:sz w:val="22"/>
              <w:lang w:eastAsia="da-DK"/>
            </w:rPr>
          </w:pPr>
          <w:hyperlink w:anchor="_Toc351290072" w:history="1">
            <w:r w:rsidR="005E5A79" w:rsidRPr="00C01A8A">
              <w:rPr>
                <w:rStyle w:val="Hyperlink"/>
                <w:noProof/>
              </w:rPr>
              <w:t>9.0 Litteraturliste</w:t>
            </w:r>
            <w:r w:rsidR="005E5A79">
              <w:rPr>
                <w:noProof/>
                <w:webHidden/>
              </w:rPr>
              <w:tab/>
            </w:r>
            <w:r>
              <w:rPr>
                <w:noProof/>
                <w:webHidden/>
              </w:rPr>
              <w:fldChar w:fldCharType="begin"/>
            </w:r>
            <w:r w:rsidR="005E5A79">
              <w:rPr>
                <w:noProof/>
                <w:webHidden/>
              </w:rPr>
              <w:instrText xml:space="preserve"> PAGEREF _Toc351290072 \h </w:instrText>
            </w:r>
            <w:r>
              <w:rPr>
                <w:noProof/>
                <w:webHidden/>
              </w:rPr>
            </w:r>
            <w:r>
              <w:rPr>
                <w:noProof/>
                <w:webHidden/>
              </w:rPr>
              <w:fldChar w:fldCharType="separate"/>
            </w:r>
            <w:r w:rsidR="005D00EE">
              <w:rPr>
                <w:noProof/>
                <w:webHidden/>
              </w:rPr>
              <w:t>13</w:t>
            </w:r>
            <w:r>
              <w:rPr>
                <w:noProof/>
                <w:webHidden/>
              </w:rPr>
              <w:fldChar w:fldCharType="end"/>
            </w:r>
          </w:hyperlink>
        </w:p>
        <w:p w:rsidR="005E5A79" w:rsidRDefault="002E534F">
          <w:pPr>
            <w:pStyle w:val="Indholdsfortegnelse1"/>
            <w:tabs>
              <w:tab w:val="right" w:leader="dot" w:pos="9628"/>
            </w:tabs>
            <w:rPr>
              <w:rFonts w:eastAsiaTheme="minorEastAsia"/>
              <w:noProof/>
              <w:sz w:val="22"/>
              <w:lang w:eastAsia="da-DK"/>
            </w:rPr>
          </w:pPr>
          <w:hyperlink w:anchor="_Toc351290073" w:history="1">
            <w:r w:rsidR="005E5A79" w:rsidRPr="00C01A8A">
              <w:rPr>
                <w:rStyle w:val="Hyperlink"/>
                <w:noProof/>
              </w:rPr>
              <w:t>10.0 Bilag 1 (2 Sider)</w:t>
            </w:r>
            <w:r w:rsidR="005E5A79">
              <w:rPr>
                <w:noProof/>
                <w:webHidden/>
              </w:rPr>
              <w:tab/>
            </w:r>
            <w:r>
              <w:rPr>
                <w:noProof/>
                <w:webHidden/>
              </w:rPr>
              <w:fldChar w:fldCharType="begin"/>
            </w:r>
            <w:r w:rsidR="005E5A79">
              <w:rPr>
                <w:noProof/>
                <w:webHidden/>
              </w:rPr>
              <w:instrText xml:space="preserve"> PAGEREF _Toc351290073 \h </w:instrText>
            </w:r>
            <w:r>
              <w:rPr>
                <w:noProof/>
                <w:webHidden/>
              </w:rPr>
            </w:r>
            <w:r>
              <w:rPr>
                <w:noProof/>
                <w:webHidden/>
              </w:rPr>
              <w:fldChar w:fldCharType="separate"/>
            </w:r>
            <w:r w:rsidR="005D00EE">
              <w:rPr>
                <w:noProof/>
                <w:webHidden/>
              </w:rPr>
              <w:t>14</w:t>
            </w:r>
            <w:r>
              <w:rPr>
                <w:noProof/>
                <w:webHidden/>
              </w:rPr>
              <w:fldChar w:fldCharType="end"/>
            </w:r>
          </w:hyperlink>
        </w:p>
        <w:p w:rsidR="001A0E29" w:rsidRPr="004E4007" w:rsidRDefault="002E534F">
          <w:r w:rsidRPr="004E4007">
            <w:rPr>
              <w:b/>
              <w:bCs/>
            </w:rPr>
            <w:fldChar w:fldCharType="end"/>
          </w:r>
        </w:p>
      </w:sdtContent>
    </w:sdt>
    <w:p w:rsidR="008B5D35" w:rsidRDefault="008B5D35">
      <w:pPr>
        <w:rPr>
          <w:rFonts w:eastAsiaTheme="majorEastAsia" w:cstheme="majorBidi"/>
          <w:b/>
          <w:bCs/>
          <w:color w:val="365F91" w:themeColor="accent1" w:themeShade="BF"/>
          <w:sz w:val="28"/>
          <w:szCs w:val="28"/>
        </w:rPr>
      </w:pPr>
      <w:r>
        <w:br w:type="page"/>
      </w:r>
    </w:p>
    <w:p w:rsidR="00063E41" w:rsidRPr="004E4007" w:rsidRDefault="008B5D35" w:rsidP="00063E41">
      <w:pPr>
        <w:pStyle w:val="Overskrift1"/>
        <w:rPr>
          <w:rFonts w:asciiTheme="minorHAnsi" w:hAnsiTheme="minorHAnsi"/>
        </w:rPr>
      </w:pPr>
      <w:bookmarkStart w:id="0" w:name="_Toc351290057"/>
      <w:r>
        <w:rPr>
          <w:rFonts w:asciiTheme="minorHAnsi" w:hAnsiTheme="minorHAnsi"/>
        </w:rPr>
        <w:lastRenderedPageBreak/>
        <w:t xml:space="preserve">1.0 </w:t>
      </w:r>
      <w:r w:rsidR="00063E41" w:rsidRPr="004E4007">
        <w:rPr>
          <w:rFonts w:asciiTheme="minorHAnsi" w:hAnsiTheme="minorHAnsi"/>
        </w:rPr>
        <w:t>Indledning</w:t>
      </w:r>
      <w:bookmarkEnd w:id="0"/>
    </w:p>
    <w:p w:rsidR="00063E41" w:rsidRPr="004E4007" w:rsidRDefault="00063E41" w:rsidP="00DB5D35">
      <w:pPr>
        <w:pStyle w:val="Ingenafstand"/>
      </w:pPr>
    </w:p>
    <w:p w:rsidR="00DB5D35" w:rsidRPr="004E4007" w:rsidRDefault="004B0C94" w:rsidP="00DB5D35">
      <w:pPr>
        <w:pStyle w:val="Ingenafstand"/>
        <w:rPr>
          <w:sz w:val="24"/>
        </w:rPr>
      </w:pPr>
      <w:r w:rsidRPr="004E4007">
        <w:rPr>
          <w:sz w:val="24"/>
        </w:rPr>
        <w:t xml:space="preserve">Pandora A/S er </w:t>
      </w:r>
      <w:r w:rsidR="00DB5D35" w:rsidRPr="004E4007">
        <w:rPr>
          <w:sz w:val="24"/>
        </w:rPr>
        <w:t>et selskab</w:t>
      </w:r>
      <w:r w:rsidR="004118A5">
        <w:rPr>
          <w:sz w:val="24"/>
        </w:rPr>
        <w:t>,</w:t>
      </w:r>
      <w:r w:rsidR="00DB5D35" w:rsidRPr="004E4007">
        <w:rPr>
          <w:sz w:val="24"/>
        </w:rPr>
        <w:t xml:space="preserve"> der designer, producere</w:t>
      </w:r>
      <w:r w:rsidR="00D46918" w:rsidRPr="004E4007">
        <w:rPr>
          <w:sz w:val="24"/>
        </w:rPr>
        <w:t>r</w:t>
      </w:r>
      <w:r w:rsidR="00DB5D35" w:rsidRPr="004E4007">
        <w:rPr>
          <w:sz w:val="24"/>
        </w:rPr>
        <w:t xml:space="preserve"> og markedsfører moderne smykker Worldwide, </w:t>
      </w:r>
      <w:r w:rsidRPr="004E4007">
        <w:rPr>
          <w:sz w:val="24"/>
        </w:rPr>
        <w:t xml:space="preserve">og </w:t>
      </w:r>
      <w:r w:rsidR="00DB5D35" w:rsidRPr="004E4007">
        <w:rPr>
          <w:sz w:val="24"/>
        </w:rPr>
        <w:t>som d</w:t>
      </w:r>
      <w:r w:rsidR="00801C1B">
        <w:rPr>
          <w:sz w:val="24"/>
        </w:rPr>
        <w:t>en</w:t>
      </w:r>
      <w:r w:rsidR="00DB5D35" w:rsidRPr="004E4007">
        <w:rPr>
          <w:sz w:val="24"/>
        </w:rPr>
        <w:t xml:space="preserve"> 5</w:t>
      </w:r>
      <w:r w:rsidR="00801C1B">
        <w:rPr>
          <w:sz w:val="24"/>
        </w:rPr>
        <w:t>.</w:t>
      </w:r>
      <w:r w:rsidR="00DB5D35" w:rsidRPr="004E4007">
        <w:rPr>
          <w:sz w:val="24"/>
        </w:rPr>
        <w:t xml:space="preserve"> oktober 2010 blev noteret på børsen.</w:t>
      </w:r>
    </w:p>
    <w:p w:rsidR="0020502E" w:rsidRDefault="0020502E" w:rsidP="00DB5D35">
      <w:pPr>
        <w:pStyle w:val="Ingenafstand"/>
        <w:rPr>
          <w:sz w:val="24"/>
        </w:rPr>
      </w:pPr>
    </w:p>
    <w:p w:rsidR="00DB5D35" w:rsidRPr="004E4007" w:rsidRDefault="00D46918" w:rsidP="00DB5D35">
      <w:pPr>
        <w:pStyle w:val="Ingenafstand"/>
        <w:rPr>
          <w:sz w:val="24"/>
        </w:rPr>
      </w:pPr>
      <w:r w:rsidRPr="004E4007">
        <w:rPr>
          <w:sz w:val="24"/>
        </w:rPr>
        <w:t>Koncernen har været igennem op- og ned</w:t>
      </w:r>
      <w:r w:rsidR="00DB5D35" w:rsidRPr="004E4007">
        <w:rPr>
          <w:sz w:val="24"/>
        </w:rPr>
        <w:t xml:space="preserve">ture siden noteringen, </w:t>
      </w:r>
      <w:r w:rsidR="008D7C04">
        <w:rPr>
          <w:sz w:val="24"/>
        </w:rPr>
        <w:t xml:space="preserve">og </w:t>
      </w:r>
      <w:r w:rsidR="00DB5D35" w:rsidRPr="004E4007">
        <w:rPr>
          <w:sz w:val="24"/>
        </w:rPr>
        <w:t>der har ligeledes været flere analyser om koncernens usikkerhed i relat</w:t>
      </w:r>
      <w:r w:rsidR="00DB67EC">
        <w:rPr>
          <w:sz w:val="24"/>
        </w:rPr>
        <w:t>ion til omsætningens ensartethed</w:t>
      </w:r>
      <w:r w:rsidR="008D7C04">
        <w:rPr>
          <w:sz w:val="24"/>
        </w:rPr>
        <w:t>. Der er derfor tvivl</w:t>
      </w:r>
      <w:r w:rsidR="00DB5D35" w:rsidRPr="004E4007">
        <w:rPr>
          <w:sz w:val="24"/>
        </w:rPr>
        <w:t xml:space="preserve"> fra både m</w:t>
      </w:r>
      <w:r w:rsidR="008D7C04">
        <w:rPr>
          <w:sz w:val="24"/>
        </w:rPr>
        <w:t>ig,</w:t>
      </w:r>
      <w:r w:rsidR="00DD4B79" w:rsidRPr="004E4007">
        <w:rPr>
          <w:sz w:val="24"/>
        </w:rPr>
        <w:t xml:space="preserve"> vismænd</w:t>
      </w:r>
      <w:r w:rsidR="008D7C04">
        <w:rPr>
          <w:sz w:val="24"/>
        </w:rPr>
        <w:t xml:space="preserve"> og</w:t>
      </w:r>
      <w:r w:rsidR="00DB5D35" w:rsidRPr="004E4007">
        <w:rPr>
          <w:sz w:val="24"/>
        </w:rPr>
        <w:t xml:space="preserve"> </w:t>
      </w:r>
      <w:r w:rsidR="00DB5D35" w:rsidRPr="00DE3FD7">
        <w:rPr>
          <w:sz w:val="24"/>
        </w:rPr>
        <w:t>banker</w:t>
      </w:r>
      <w:r w:rsidR="008D7C04">
        <w:rPr>
          <w:sz w:val="24"/>
        </w:rPr>
        <w:t xml:space="preserve"> vedr.,</w:t>
      </w:r>
      <w:r w:rsidR="00DB5D35" w:rsidRPr="004E4007">
        <w:rPr>
          <w:sz w:val="24"/>
        </w:rPr>
        <w:t xml:space="preserve"> om koncernen </w:t>
      </w:r>
      <w:r w:rsidR="00731A6A">
        <w:rPr>
          <w:sz w:val="24"/>
        </w:rPr>
        <w:t>kan holde sin vækst i fremtiden,</w:t>
      </w:r>
      <w:r w:rsidR="00DB5D35" w:rsidRPr="004E4007">
        <w:rPr>
          <w:sz w:val="24"/>
        </w:rPr>
        <w:t xml:space="preserve"> da der er tale om astronomiske be</w:t>
      </w:r>
      <w:r w:rsidR="004B0C94" w:rsidRPr="004E4007">
        <w:rPr>
          <w:sz w:val="24"/>
        </w:rPr>
        <w:t>løb</w:t>
      </w:r>
      <w:r w:rsidR="00DB5D35" w:rsidRPr="004E4007">
        <w:rPr>
          <w:sz w:val="24"/>
        </w:rPr>
        <w:t xml:space="preserve"> i salg af smykker.</w:t>
      </w:r>
    </w:p>
    <w:p w:rsidR="002E7B48" w:rsidRDefault="002E7B48" w:rsidP="00DB5D35">
      <w:pPr>
        <w:pStyle w:val="Ingenafstand"/>
        <w:rPr>
          <w:sz w:val="24"/>
        </w:rPr>
      </w:pPr>
    </w:p>
    <w:p w:rsidR="002E7B48" w:rsidRDefault="004B0C94" w:rsidP="00DB5D35">
      <w:pPr>
        <w:pStyle w:val="Ingenafstand"/>
        <w:rPr>
          <w:sz w:val="24"/>
        </w:rPr>
      </w:pPr>
      <w:r w:rsidRPr="004E4007">
        <w:rPr>
          <w:sz w:val="24"/>
        </w:rPr>
        <w:t xml:space="preserve">Der </w:t>
      </w:r>
      <w:r w:rsidR="001C17EF">
        <w:rPr>
          <w:sz w:val="24"/>
        </w:rPr>
        <w:t>blev tidlig</w:t>
      </w:r>
      <w:r w:rsidR="00DB5D35" w:rsidRPr="004E4007">
        <w:rPr>
          <w:sz w:val="24"/>
        </w:rPr>
        <w:t>t i 2008 fremlagt en omsætning på ikke mindre end 1,7 milliard DKK</w:t>
      </w:r>
      <w:r w:rsidR="005072D0" w:rsidRPr="004E4007">
        <w:rPr>
          <w:sz w:val="24"/>
        </w:rPr>
        <w:t>, hvilket betød</w:t>
      </w:r>
      <w:r w:rsidR="001C17EF">
        <w:rPr>
          <w:sz w:val="24"/>
        </w:rPr>
        <w:t>,</w:t>
      </w:r>
      <w:r w:rsidR="005072D0" w:rsidRPr="004E4007">
        <w:rPr>
          <w:sz w:val="24"/>
        </w:rPr>
        <w:t xml:space="preserve"> at der pludselig var en enorm vækst i virksomheden, og dermed en udvidelse af markeder </w:t>
      </w:r>
      <w:proofErr w:type="spellStart"/>
      <w:r w:rsidR="00731A6A">
        <w:rPr>
          <w:sz w:val="24"/>
        </w:rPr>
        <w:t>w</w:t>
      </w:r>
      <w:r w:rsidR="00DD4B79" w:rsidRPr="004E4007">
        <w:rPr>
          <w:sz w:val="24"/>
        </w:rPr>
        <w:t>orldwide</w:t>
      </w:r>
      <w:proofErr w:type="spellEnd"/>
      <w:r w:rsidR="001C17EF">
        <w:rPr>
          <w:sz w:val="24"/>
        </w:rPr>
        <w:t>. Yderligere var der</w:t>
      </w:r>
      <w:r w:rsidR="005072D0" w:rsidRPr="004E4007">
        <w:rPr>
          <w:sz w:val="24"/>
        </w:rPr>
        <w:t xml:space="preserve"> sammenlægninger af flere selskaber. Alene i 2009 eksploderede </w:t>
      </w:r>
      <w:r w:rsidR="000D6CA7" w:rsidRPr="004E4007">
        <w:rPr>
          <w:sz w:val="24"/>
        </w:rPr>
        <w:t xml:space="preserve">omsætningen med en stigning på </w:t>
      </w:r>
      <w:r w:rsidR="00DD4B79" w:rsidRPr="004E4007">
        <w:rPr>
          <w:sz w:val="24"/>
        </w:rPr>
        <w:t>82 %</w:t>
      </w:r>
      <w:r w:rsidR="001C17EF">
        <w:rPr>
          <w:sz w:val="24"/>
        </w:rPr>
        <w:t>, og den</w:t>
      </w:r>
      <w:r w:rsidR="00DD4B79" w:rsidRPr="004E4007">
        <w:rPr>
          <w:sz w:val="24"/>
        </w:rPr>
        <w:t xml:space="preserve"> var</w:t>
      </w:r>
      <w:r w:rsidR="005072D0" w:rsidRPr="004E4007">
        <w:rPr>
          <w:sz w:val="24"/>
        </w:rPr>
        <w:t xml:space="preserve"> højer</w:t>
      </w:r>
      <w:r w:rsidR="000D6CA7" w:rsidRPr="004E4007">
        <w:rPr>
          <w:sz w:val="24"/>
        </w:rPr>
        <w:t xml:space="preserve">e i året 2010 med en vækst på </w:t>
      </w:r>
      <w:r w:rsidR="00DD4B79" w:rsidRPr="004E4007">
        <w:rPr>
          <w:sz w:val="24"/>
        </w:rPr>
        <w:t>93 %</w:t>
      </w:r>
      <w:r w:rsidR="001C291B">
        <w:rPr>
          <w:sz w:val="24"/>
        </w:rPr>
        <w:t>. I 2011 var der pludselig</w:t>
      </w:r>
      <w:r w:rsidR="000D6CA7" w:rsidRPr="004E4007">
        <w:rPr>
          <w:sz w:val="24"/>
        </w:rPr>
        <w:t xml:space="preserve"> en </w:t>
      </w:r>
      <w:r w:rsidRPr="004E4007">
        <w:rPr>
          <w:sz w:val="24"/>
        </w:rPr>
        <w:t xml:space="preserve">nedadgående </w:t>
      </w:r>
      <w:r w:rsidR="000D6CA7" w:rsidRPr="004E4007">
        <w:rPr>
          <w:sz w:val="24"/>
        </w:rPr>
        <w:t>væks</w:t>
      </w:r>
      <w:r w:rsidR="00D46918" w:rsidRPr="004E4007">
        <w:rPr>
          <w:sz w:val="24"/>
        </w:rPr>
        <w:t>t</w:t>
      </w:r>
      <w:r w:rsidRPr="004E4007">
        <w:rPr>
          <w:sz w:val="24"/>
        </w:rPr>
        <w:t xml:space="preserve"> på </w:t>
      </w:r>
      <w:r w:rsidR="000D6CA7" w:rsidRPr="00731A6A">
        <w:rPr>
          <w:sz w:val="24"/>
        </w:rPr>
        <w:t>0,</w:t>
      </w:r>
      <w:r w:rsidR="00DD4B79" w:rsidRPr="00731A6A">
        <w:rPr>
          <w:sz w:val="24"/>
        </w:rPr>
        <w:t>1 %</w:t>
      </w:r>
      <w:r w:rsidR="000D6CA7" w:rsidRPr="004E4007">
        <w:rPr>
          <w:sz w:val="24"/>
        </w:rPr>
        <w:t>.</w:t>
      </w:r>
      <w:r w:rsidR="000D6CA7" w:rsidRPr="004E4007">
        <w:rPr>
          <w:rStyle w:val="Fodnotehenvisning"/>
          <w:sz w:val="24"/>
        </w:rPr>
        <w:footnoteReference w:id="1"/>
      </w:r>
      <w:r w:rsidRPr="004E4007">
        <w:rPr>
          <w:sz w:val="24"/>
        </w:rPr>
        <w:t xml:space="preserve"> </w:t>
      </w:r>
      <w:r w:rsidR="001C17EF">
        <w:rPr>
          <w:sz w:val="24"/>
        </w:rPr>
        <w:t>Grunden til denne udvikling</w:t>
      </w:r>
      <w:r w:rsidR="000D6CA7" w:rsidRPr="004E4007">
        <w:rPr>
          <w:sz w:val="24"/>
        </w:rPr>
        <w:t xml:space="preserve"> har været nogle makroøkonomiske aspekter på markedet.</w:t>
      </w:r>
    </w:p>
    <w:p w:rsidR="006118B3" w:rsidRDefault="004B0C94" w:rsidP="00DB5D35">
      <w:pPr>
        <w:pStyle w:val="Ingenafstand"/>
        <w:rPr>
          <w:sz w:val="24"/>
        </w:rPr>
      </w:pPr>
      <w:r w:rsidRPr="004E4007">
        <w:rPr>
          <w:sz w:val="24"/>
        </w:rPr>
        <w:t xml:space="preserve"> </w:t>
      </w:r>
    </w:p>
    <w:p w:rsidR="0059582C" w:rsidRDefault="0059582C" w:rsidP="00DB5D35">
      <w:pPr>
        <w:pStyle w:val="Ingenafstand"/>
        <w:rPr>
          <w:sz w:val="24"/>
        </w:rPr>
      </w:pPr>
      <w:r w:rsidRPr="004E4007">
        <w:rPr>
          <w:sz w:val="24"/>
        </w:rPr>
        <w:t xml:space="preserve">Pandora har skabt sin </w:t>
      </w:r>
      <w:r w:rsidR="004B0C94" w:rsidRPr="004E4007">
        <w:rPr>
          <w:sz w:val="24"/>
        </w:rPr>
        <w:t>vækst og sit marked for smykker</w:t>
      </w:r>
      <w:r w:rsidRPr="004E4007">
        <w:rPr>
          <w:sz w:val="24"/>
        </w:rPr>
        <w:t xml:space="preserve"> på baggrund af sine charms, og </w:t>
      </w:r>
      <w:r w:rsidR="001C17EF">
        <w:rPr>
          <w:sz w:val="24"/>
        </w:rPr>
        <w:t xml:space="preserve">med </w:t>
      </w:r>
      <w:r w:rsidRPr="004E4007">
        <w:rPr>
          <w:sz w:val="24"/>
        </w:rPr>
        <w:t>deres ekspansion på ude</w:t>
      </w:r>
      <w:r w:rsidR="00097323">
        <w:rPr>
          <w:sz w:val="24"/>
        </w:rPr>
        <w:t>nlandske markeder, er der så</w:t>
      </w:r>
      <w:r w:rsidRPr="004E4007">
        <w:rPr>
          <w:sz w:val="24"/>
        </w:rPr>
        <w:t xml:space="preserve"> tale om en ”dille”</w:t>
      </w:r>
      <w:r w:rsidR="001C17EF">
        <w:rPr>
          <w:sz w:val="24"/>
        </w:rPr>
        <w:t>,</w:t>
      </w:r>
      <w:r w:rsidR="00097323">
        <w:rPr>
          <w:sz w:val="24"/>
        </w:rPr>
        <w:t xml:space="preserve"> eller</w:t>
      </w:r>
      <w:r w:rsidRPr="004E4007">
        <w:rPr>
          <w:sz w:val="24"/>
        </w:rPr>
        <w:t xml:space="preserve"> om en vedholden</w:t>
      </w:r>
      <w:r w:rsidR="006118B3">
        <w:rPr>
          <w:sz w:val="24"/>
        </w:rPr>
        <w:t>d</w:t>
      </w:r>
      <w:r w:rsidRPr="004E4007">
        <w:rPr>
          <w:sz w:val="24"/>
        </w:rPr>
        <w:t>e succes med innovation og nye designs</w:t>
      </w:r>
      <w:proofErr w:type="gramStart"/>
      <w:r w:rsidR="006118B3">
        <w:rPr>
          <w:sz w:val="24"/>
        </w:rPr>
        <w:t>?</w:t>
      </w:r>
      <w:r w:rsidR="001B0033">
        <w:rPr>
          <w:sz w:val="24"/>
        </w:rPr>
        <w:t>.</w:t>
      </w:r>
      <w:proofErr w:type="gramEnd"/>
    </w:p>
    <w:p w:rsidR="002E7B48" w:rsidRPr="004E4007" w:rsidRDefault="002E7B48" w:rsidP="00DB5D35">
      <w:pPr>
        <w:pStyle w:val="Ingenafstand"/>
        <w:rPr>
          <w:sz w:val="24"/>
        </w:rPr>
      </w:pPr>
    </w:p>
    <w:p w:rsidR="00273F0E" w:rsidRDefault="00731A6A" w:rsidP="00DB5D35">
      <w:pPr>
        <w:pStyle w:val="Ingenafstand"/>
        <w:rPr>
          <w:sz w:val="24"/>
        </w:rPr>
      </w:pPr>
      <w:r>
        <w:rPr>
          <w:sz w:val="24"/>
        </w:rPr>
        <w:t xml:space="preserve">Denne opgave giver et bud på værdiansættelsen af Pandora. </w:t>
      </w:r>
      <w:r w:rsidR="0059582C" w:rsidRPr="004E4007">
        <w:rPr>
          <w:sz w:val="24"/>
        </w:rPr>
        <w:t>Værdiansættelsen k</w:t>
      </w:r>
      <w:r w:rsidR="00D46918" w:rsidRPr="004E4007">
        <w:rPr>
          <w:sz w:val="24"/>
        </w:rPr>
        <w:t>an være svær at fastsætte, da vi globalt</w:t>
      </w:r>
      <w:r w:rsidR="0059582C" w:rsidRPr="004E4007">
        <w:rPr>
          <w:sz w:val="24"/>
        </w:rPr>
        <w:t xml:space="preserve"> indenfor de sidste år </w:t>
      </w:r>
      <w:r w:rsidR="00D46918" w:rsidRPr="004E4007">
        <w:rPr>
          <w:sz w:val="24"/>
        </w:rPr>
        <w:t xml:space="preserve">har været i en recession, og </w:t>
      </w:r>
      <w:r w:rsidR="001C17EF">
        <w:rPr>
          <w:sz w:val="24"/>
        </w:rPr>
        <w:t>der er</w:t>
      </w:r>
      <w:r w:rsidR="0059582C" w:rsidRPr="004E4007">
        <w:rPr>
          <w:sz w:val="24"/>
        </w:rPr>
        <w:t xml:space="preserve"> stor usikkerhed på det </w:t>
      </w:r>
      <w:r w:rsidR="00ED4F3D" w:rsidRPr="004E4007">
        <w:rPr>
          <w:sz w:val="24"/>
        </w:rPr>
        <w:t>nationale</w:t>
      </w:r>
      <w:r w:rsidR="0059582C" w:rsidRPr="004E4007">
        <w:rPr>
          <w:sz w:val="24"/>
        </w:rPr>
        <w:t xml:space="preserve"> og </w:t>
      </w:r>
      <w:r w:rsidR="00ED4F3D" w:rsidRPr="004E4007">
        <w:rPr>
          <w:sz w:val="24"/>
        </w:rPr>
        <w:t>internationale</w:t>
      </w:r>
      <w:r w:rsidR="0059582C" w:rsidRPr="004E4007">
        <w:rPr>
          <w:sz w:val="24"/>
        </w:rPr>
        <w:t xml:space="preserve"> finansielle marked</w:t>
      </w:r>
      <w:r w:rsidR="004B0C94" w:rsidRPr="004E4007">
        <w:rPr>
          <w:sz w:val="24"/>
        </w:rPr>
        <w:t xml:space="preserve">. </w:t>
      </w:r>
    </w:p>
    <w:p w:rsidR="002E7B48" w:rsidRPr="004E4007" w:rsidRDefault="002E7B48" w:rsidP="00DB5D35">
      <w:pPr>
        <w:pStyle w:val="Ingenafstand"/>
        <w:rPr>
          <w:sz w:val="24"/>
        </w:rPr>
      </w:pPr>
    </w:p>
    <w:p w:rsidR="006F1CC8" w:rsidRPr="004E4007" w:rsidRDefault="00063E41" w:rsidP="00DB5D35">
      <w:pPr>
        <w:pStyle w:val="Ingenafstand"/>
        <w:rPr>
          <w:sz w:val="24"/>
        </w:rPr>
      </w:pPr>
      <w:r w:rsidRPr="004E4007">
        <w:rPr>
          <w:sz w:val="24"/>
        </w:rPr>
        <w:t xml:space="preserve">En fuld </w:t>
      </w:r>
      <w:r w:rsidR="00D46918" w:rsidRPr="004E4007">
        <w:rPr>
          <w:sz w:val="24"/>
        </w:rPr>
        <w:t>v</w:t>
      </w:r>
      <w:r w:rsidRPr="004E4007">
        <w:rPr>
          <w:sz w:val="24"/>
        </w:rPr>
        <w:t>ærdiansættelse er meget omfattende, og kræver</w:t>
      </w:r>
      <w:r w:rsidR="001C17EF">
        <w:rPr>
          <w:sz w:val="24"/>
        </w:rPr>
        <w:t xml:space="preserve"> nøje ”insiderviden”. D</w:t>
      </w:r>
      <w:r w:rsidRPr="004E4007">
        <w:rPr>
          <w:sz w:val="24"/>
        </w:rPr>
        <w:t>et er derfor vigtigt at forholde sig kritisk til de oplysninger</w:t>
      </w:r>
      <w:r w:rsidR="001C17EF">
        <w:rPr>
          <w:sz w:val="24"/>
        </w:rPr>
        <w:t>, der bliver indsamlet</w:t>
      </w:r>
      <w:r w:rsidRPr="004E4007">
        <w:rPr>
          <w:sz w:val="24"/>
        </w:rPr>
        <w:t xml:space="preserve"> for at fremkomme med et kvalificeret bud på værdiansættelsen af koncernen.</w:t>
      </w:r>
      <w:r w:rsidR="006118B3">
        <w:rPr>
          <w:sz w:val="24"/>
        </w:rPr>
        <w:t xml:space="preserve"> Opgaven er derfor et forsøg på at anvende en værdiansættelses metode i praksis vedvidende at datagrundlaget ik</w:t>
      </w:r>
      <w:r w:rsidR="00072668">
        <w:rPr>
          <w:sz w:val="24"/>
        </w:rPr>
        <w:t>ke helt er tilstrækkeligt</w:t>
      </w:r>
      <w:r w:rsidR="006118B3">
        <w:rPr>
          <w:sz w:val="24"/>
        </w:rPr>
        <w:t xml:space="preserve">. </w:t>
      </w:r>
    </w:p>
    <w:p w:rsidR="006F1CC8" w:rsidRPr="004E4007" w:rsidRDefault="006F1CC8" w:rsidP="006F1CC8">
      <w:r w:rsidRPr="004E4007">
        <w:br w:type="page"/>
      </w:r>
    </w:p>
    <w:p w:rsidR="006F1CC8" w:rsidRPr="004E4007" w:rsidRDefault="008B5D35" w:rsidP="006F1CC8">
      <w:pPr>
        <w:pStyle w:val="Overskrift1"/>
        <w:rPr>
          <w:rFonts w:asciiTheme="minorHAnsi" w:hAnsiTheme="minorHAnsi"/>
        </w:rPr>
      </w:pPr>
      <w:bookmarkStart w:id="1" w:name="_Toc351290058"/>
      <w:r>
        <w:rPr>
          <w:rFonts w:asciiTheme="minorHAnsi" w:hAnsiTheme="minorHAnsi"/>
        </w:rPr>
        <w:lastRenderedPageBreak/>
        <w:t xml:space="preserve">2.0 </w:t>
      </w:r>
      <w:r w:rsidR="006F1CC8" w:rsidRPr="004E4007">
        <w:rPr>
          <w:rFonts w:asciiTheme="minorHAnsi" w:hAnsiTheme="minorHAnsi"/>
        </w:rPr>
        <w:t>Problemformulering</w:t>
      </w:r>
      <w:bookmarkEnd w:id="1"/>
    </w:p>
    <w:p w:rsidR="003E50A6" w:rsidRDefault="003E50A6" w:rsidP="006F1CC8">
      <w:pPr>
        <w:autoSpaceDE w:val="0"/>
        <w:autoSpaceDN w:val="0"/>
        <w:adjustRightInd w:val="0"/>
        <w:spacing w:after="0" w:line="240" w:lineRule="auto"/>
        <w:rPr>
          <w:rFonts w:cstheme="minorHAnsi"/>
          <w:bCs/>
          <w:iCs/>
          <w:szCs w:val="24"/>
        </w:rPr>
      </w:pPr>
    </w:p>
    <w:p w:rsidR="00102903" w:rsidRPr="004E4007" w:rsidRDefault="00102903" w:rsidP="00102903">
      <w:pPr>
        <w:autoSpaceDE w:val="0"/>
        <w:autoSpaceDN w:val="0"/>
        <w:adjustRightInd w:val="0"/>
        <w:spacing w:after="0" w:line="240" w:lineRule="auto"/>
        <w:rPr>
          <w:rFonts w:cstheme="minorHAnsi"/>
          <w:bCs/>
          <w:iCs/>
          <w:szCs w:val="24"/>
        </w:rPr>
      </w:pPr>
      <w:r w:rsidRPr="004E4007">
        <w:rPr>
          <w:rFonts w:cstheme="minorHAnsi"/>
          <w:bCs/>
          <w:iCs/>
          <w:szCs w:val="24"/>
        </w:rPr>
        <w:t>Målet med værdiansættelsen er, at fastsætte, om det for den private investor er attraktiv</w:t>
      </w:r>
      <w:r>
        <w:rPr>
          <w:rFonts w:cstheme="minorHAnsi"/>
          <w:bCs/>
          <w:iCs/>
          <w:szCs w:val="24"/>
        </w:rPr>
        <w:t>t at investere i Pandora aktien</w:t>
      </w:r>
      <w:r w:rsidRPr="004E4007">
        <w:rPr>
          <w:rFonts w:cstheme="minorHAnsi"/>
          <w:bCs/>
          <w:iCs/>
          <w:szCs w:val="24"/>
        </w:rPr>
        <w:t xml:space="preserve"> set i relation til markedsværdien d. 10-09-2012</w:t>
      </w:r>
      <w:r>
        <w:rPr>
          <w:rFonts w:cstheme="minorHAnsi"/>
          <w:bCs/>
          <w:iCs/>
          <w:szCs w:val="24"/>
        </w:rPr>
        <w:t>.</w:t>
      </w:r>
    </w:p>
    <w:p w:rsidR="006F1CC8" w:rsidRPr="004E4007" w:rsidRDefault="006F1CC8" w:rsidP="006F1CC8">
      <w:pPr>
        <w:autoSpaceDE w:val="0"/>
        <w:autoSpaceDN w:val="0"/>
        <w:adjustRightInd w:val="0"/>
        <w:spacing w:after="0" w:line="240" w:lineRule="auto"/>
        <w:rPr>
          <w:rFonts w:eastAsia="TimesNewRoman" w:cstheme="minorHAnsi"/>
          <w:szCs w:val="24"/>
        </w:rPr>
      </w:pPr>
    </w:p>
    <w:p w:rsidR="006F1CC8" w:rsidRPr="004E4007" w:rsidRDefault="00731A6A" w:rsidP="006F1CC8">
      <w:pPr>
        <w:autoSpaceDE w:val="0"/>
        <w:autoSpaceDN w:val="0"/>
        <w:adjustRightInd w:val="0"/>
        <w:spacing w:after="0" w:line="240" w:lineRule="auto"/>
        <w:rPr>
          <w:rFonts w:eastAsia="TimesNewRoman" w:cstheme="minorHAnsi"/>
          <w:i/>
          <w:iCs/>
          <w:szCs w:val="24"/>
        </w:rPr>
      </w:pPr>
      <w:r>
        <w:rPr>
          <w:rFonts w:eastAsia="TimesNewRoman" w:cstheme="minorHAnsi"/>
          <w:i/>
          <w:iCs/>
          <w:szCs w:val="24"/>
        </w:rPr>
        <w:t>Spørgsmål som besvares:</w:t>
      </w:r>
    </w:p>
    <w:p w:rsidR="006F1CC8" w:rsidRPr="004E4007" w:rsidRDefault="006F1CC8" w:rsidP="006F1CC8">
      <w:pPr>
        <w:pStyle w:val="Listeafsnit"/>
        <w:numPr>
          <w:ilvl w:val="0"/>
          <w:numId w:val="1"/>
        </w:numPr>
        <w:autoSpaceDE w:val="0"/>
        <w:autoSpaceDN w:val="0"/>
        <w:adjustRightInd w:val="0"/>
        <w:spacing w:after="0" w:line="240" w:lineRule="auto"/>
        <w:rPr>
          <w:rFonts w:eastAsia="TimesNewRoman" w:cstheme="minorHAnsi"/>
          <w:iCs/>
          <w:szCs w:val="24"/>
        </w:rPr>
      </w:pPr>
      <w:r w:rsidRPr="004E4007">
        <w:rPr>
          <w:rFonts w:eastAsia="TimesNewRoman" w:cstheme="minorHAnsi"/>
          <w:iCs/>
          <w:szCs w:val="24"/>
        </w:rPr>
        <w:t>Hvad er Pandoras aktiekurs ved værdiansættelsen</w:t>
      </w:r>
      <w:r w:rsidR="00A2158A">
        <w:rPr>
          <w:rFonts w:eastAsia="TimesNewRoman" w:cstheme="minorHAnsi"/>
          <w:iCs/>
          <w:szCs w:val="24"/>
        </w:rPr>
        <w:t xml:space="preserve"> ud fra </w:t>
      </w:r>
      <w:proofErr w:type="spellStart"/>
      <w:r w:rsidR="00A2158A">
        <w:rPr>
          <w:rFonts w:eastAsia="TimesNewRoman" w:cstheme="minorHAnsi"/>
          <w:iCs/>
          <w:szCs w:val="24"/>
        </w:rPr>
        <w:t>Discounted</w:t>
      </w:r>
      <w:proofErr w:type="spellEnd"/>
      <w:r w:rsidR="00A2158A">
        <w:rPr>
          <w:rFonts w:eastAsia="TimesNewRoman" w:cstheme="minorHAnsi"/>
          <w:iCs/>
          <w:szCs w:val="24"/>
        </w:rPr>
        <w:t xml:space="preserve"> C</w:t>
      </w:r>
      <w:r w:rsidR="0020502E">
        <w:rPr>
          <w:rFonts w:eastAsia="TimesNewRoman" w:cstheme="minorHAnsi"/>
          <w:iCs/>
          <w:szCs w:val="24"/>
        </w:rPr>
        <w:t xml:space="preserve">ash </w:t>
      </w:r>
      <w:r w:rsidR="00A2158A">
        <w:rPr>
          <w:rFonts w:eastAsia="TimesNewRoman" w:cstheme="minorHAnsi"/>
          <w:iCs/>
          <w:szCs w:val="24"/>
        </w:rPr>
        <w:t>F</w:t>
      </w:r>
      <w:r w:rsidR="0020502E">
        <w:rPr>
          <w:rFonts w:eastAsia="TimesNewRoman" w:cstheme="minorHAnsi"/>
          <w:iCs/>
          <w:szCs w:val="24"/>
        </w:rPr>
        <w:t xml:space="preserve">low </w:t>
      </w:r>
      <w:r w:rsidR="00A2158A">
        <w:rPr>
          <w:rFonts w:eastAsia="TimesNewRoman" w:cstheme="minorHAnsi"/>
          <w:iCs/>
          <w:szCs w:val="24"/>
        </w:rPr>
        <w:t>M</w:t>
      </w:r>
      <w:r w:rsidR="0020502E">
        <w:rPr>
          <w:rFonts w:eastAsia="TimesNewRoman" w:cstheme="minorHAnsi"/>
          <w:iCs/>
          <w:szCs w:val="24"/>
        </w:rPr>
        <w:t>odellen</w:t>
      </w:r>
      <w:r w:rsidR="00CF3C0F">
        <w:rPr>
          <w:rFonts w:eastAsia="TimesNewRoman" w:cstheme="minorHAnsi"/>
          <w:iCs/>
          <w:szCs w:val="24"/>
        </w:rPr>
        <w:t>?</w:t>
      </w:r>
    </w:p>
    <w:p w:rsidR="006F1CC8" w:rsidRPr="004E4007" w:rsidRDefault="006F1CC8" w:rsidP="006F1CC8">
      <w:pPr>
        <w:pStyle w:val="Listeafsnit"/>
        <w:numPr>
          <w:ilvl w:val="0"/>
          <w:numId w:val="1"/>
        </w:numPr>
        <w:autoSpaceDE w:val="0"/>
        <w:autoSpaceDN w:val="0"/>
        <w:adjustRightInd w:val="0"/>
        <w:spacing w:after="0" w:line="240" w:lineRule="auto"/>
        <w:rPr>
          <w:rFonts w:eastAsia="TimesNewRoman" w:cstheme="minorHAnsi"/>
          <w:iCs/>
          <w:szCs w:val="24"/>
        </w:rPr>
      </w:pPr>
      <w:r w:rsidRPr="004E4007">
        <w:rPr>
          <w:rFonts w:eastAsia="TimesNewRoman" w:cstheme="minorHAnsi"/>
          <w:iCs/>
          <w:szCs w:val="24"/>
        </w:rPr>
        <w:t>Hvad</w:t>
      </w:r>
      <w:r w:rsidR="0020502E">
        <w:rPr>
          <w:rFonts w:eastAsia="TimesNewRoman" w:cstheme="minorHAnsi"/>
          <w:iCs/>
          <w:szCs w:val="24"/>
        </w:rPr>
        <w:t xml:space="preserve"> er den aktuelle </w:t>
      </w:r>
      <w:r w:rsidR="000508B4" w:rsidRPr="004E4007">
        <w:rPr>
          <w:rFonts w:eastAsia="TimesNewRoman" w:cstheme="minorHAnsi"/>
          <w:iCs/>
          <w:szCs w:val="24"/>
        </w:rPr>
        <w:t>aktiekurs</w:t>
      </w:r>
      <w:r w:rsidR="0020502E">
        <w:rPr>
          <w:rFonts w:eastAsia="TimesNewRoman" w:cstheme="minorHAnsi"/>
          <w:iCs/>
          <w:szCs w:val="24"/>
        </w:rPr>
        <w:t xml:space="preserve"> </w:t>
      </w:r>
      <w:r w:rsidR="000508B4" w:rsidRPr="004E4007">
        <w:rPr>
          <w:rFonts w:eastAsia="TimesNewRoman" w:cstheme="minorHAnsi"/>
          <w:iCs/>
          <w:szCs w:val="24"/>
        </w:rPr>
        <w:t>d. 10</w:t>
      </w:r>
      <w:r w:rsidRPr="004E4007">
        <w:rPr>
          <w:rFonts w:eastAsia="TimesNewRoman" w:cstheme="minorHAnsi"/>
          <w:iCs/>
          <w:szCs w:val="24"/>
        </w:rPr>
        <w:t>-09-2012</w:t>
      </w:r>
      <w:r w:rsidR="00CF3C0F">
        <w:rPr>
          <w:rFonts w:eastAsia="TimesNewRoman" w:cstheme="minorHAnsi"/>
          <w:iCs/>
          <w:szCs w:val="24"/>
        </w:rPr>
        <w:t>?</w:t>
      </w:r>
    </w:p>
    <w:p w:rsidR="006F1CC8" w:rsidRPr="004E4007" w:rsidRDefault="006F1CC8" w:rsidP="006F1CC8">
      <w:pPr>
        <w:pStyle w:val="Listeafsnit"/>
        <w:numPr>
          <w:ilvl w:val="0"/>
          <w:numId w:val="1"/>
        </w:numPr>
        <w:autoSpaceDE w:val="0"/>
        <w:autoSpaceDN w:val="0"/>
        <w:adjustRightInd w:val="0"/>
        <w:spacing w:after="0" w:line="240" w:lineRule="auto"/>
        <w:rPr>
          <w:rFonts w:eastAsia="TimesNewRoman" w:cstheme="minorHAnsi"/>
          <w:szCs w:val="24"/>
        </w:rPr>
      </w:pPr>
      <w:r w:rsidRPr="004E4007">
        <w:rPr>
          <w:rFonts w:eastAsia="TimesNewRoman" w:cstheme="minorHAnsi"/>
          <w:szCs w:val="24"/>
        </w:rPr>
        <w:t>Er det attraktivt for private investorer at handle aktier i Pandora, er a</w:t>
      </w:r>
      <w:r w:rsidR="00CF3C0F">
        <w:rPr>
          <w:rFonts w:eastAsia="TimesNewRoman" w:cstheme="minorHAnsi"/>
          <w:szCs w:val="24"/>
        </w:rPr>
        <w:t>ktien over- eller undervurderet?</w:t>
      </w:r>
    </w:p>
    <w:p w:rsidR="00A17555" w:rsidRDefault="00A17555">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pPr>
        <w:rPr>
          <w:rFonts w:asciiTheme="majorHAnsi" w:eastAsiaTheme="majorEastAsia" w:hAnsiTheme="majorHAnsi" w:cstheme="majorBidi"/>
          <w:b/>
          <w:bCs/>
          <w:color w:val="365F91" w:themeColor="accent1" w:themeShade="BF"/>
          <w:sz w:val="28"/>
          <w:szCs w:val="28"/>
        </w:rPr>
      </w:pPr>
    </w:p>
    <w:p w:rsidR="00D42C5E" w:rsidRDefault="00D42C5E" w:rsidP="00DE3FD7">
      <w:pPr>
        <w:pStyle w:val="Overskrift1"/>
      </w:pPr>
    </w:p>
    <w:p w:rsidR="00D42C5E" w:rsidRPr="00D42C5E" w:rsidRDefault="00D42C5E" w:rsidP="00D42C5E"/>
    <w:p w:rsidR="005E5A79" w:rsidRDefault="005E5A79" w:rsidP="00DE3FD7">
      <w:pPr>
        <w:pStyle w:val="Overskrift1"/>
      </w:pPr>
    </w:p>
    <w:p w:rsidR="005E5A79" w:rsidRDefault="005E5A79" w:rsidP="00DE3FD7">
      <w:pPr>
        <w:pStyle w:val="Overskrift1"/>
      </w:pPr>
    </w:p>
    <w:p w:rsidR="00080376" w:rsidRDefault="008B5D35" w:rsidP="00DE3FD7">
      <w:pPr>
        <w:pStyle w:val="Overskrift1"/>
      </w:pPr>
      <w:bookmarkStart w:id="2" w:name="_Toc351290059"/>
      <w:r>
        <w:t xml:space="preserve">3.0 </w:t>
      </w:r>
      <w:r w:rsidR="00080376" w:rsidRPr="004E4007">
        <w:t>DCF Værdiansættelsen</w:t>
      </w:r>
      <w:r>
        <w:t xml:space="preserve"> / metode</w:t>
      </w:r>
      <w:bookmarkEnd w:id="2"/>
    </w:p>
    <w:p w:rsidR="00DE3FD7" w:rsidRPr="00DE3FD7" w:rsidRDefault="00DE3FD7" w:rsidP="00DE3FD7"/>
    <w:p w:rsidR="00080376" w:rsidRPr="004E4007" w:rsidRDefault="00080376" w:rsidP="00080376">
      <w:pPr>
        <w:rPr>
          <w:szCs w:val="24"/>
        </w:rPr>
      </w:pPr>
      <w:r w:rsidRPr="004E4007">
        <w:rPr>
          <w:szCs w:val="24"/>
        </w:rPr>
        <w:t>Der er rigtig mange værdiansættelses teorier, men jeg har valgt at vælge DCF,</w:t>
      </w:r>
      <w:r w:rsidR="007A1A87">
        <w:rPr>
          <w:szCs w:val="24"/>
        </w:rPr>
        <w:t xml:space="preserve"> </w:t>
      </w:r>
      <w:proofErr w:type="spellStart"/>
      <w:r w:rsidR="007A1A87">
        <w:rPr>
          <w:szCs w:val="24"/>
        </w:rPr>
        <w:t>Discounted</w:t>
      </w:r>
      <w:proofErr w:type="spellEnd"/>
      <w:r w:rsidR="007A1A87">
        <w:rPr>
          <w:szCs w:val="24"/>
        </w:rPr>
        <w:t xml:space="preserve"> Cash Flow Modellen </w:t>
      </w:r>
      <w:r w:rsidRPr="004E4007">
        <w:rPr>
          <w:szCs w:val="24"/>
        </w:rPr>
        <w:t>til at bestemme virksomhedens egenkapital.</w:t>
      </w:r>
    </w:p>
    <w:p w:rsidR="00080376" w:rsidRPr="004E4007" w:rsidRDefault="00080376" w:rsidP="00080376">
      <w:pPr>
        <w:rPr>
          <w:szCs w:val="24"/>
        </w:rPr>
      </w:pPr>
      <w:r w:rsidRPr="004E4007">
        <w:rPr>
          <w:szCs w:val="24"/>
        </w:rPr>
        <w:t>For at få et overblik over</w:t>
      </w:r>
      <w:r w:rsidR="00A56397">
        <w:rPr>
          <w:szCs w:val="24"/>
        </w:rPr>
        <w:t>,</w:t>
      </w:r>
      <w:r w:rsidRPr="004E4007">
        <w:rPr>
          <w:szCs w:val="24"/>
        </w:rPr>
        <w:t xml:space="preserve"> hvordan opbygningen af værdi ansættelsen vil finde sted</w:t>
      </w:r>
      <w:r w:rsidR="00F0611E">
        <w:rPr>
          <w:szCs w:val="24"/>
        </w:rPr>
        <w:t>,</w:t>
      </w:r>
      <w:r w:rsidRPr="004E4007">
        <w:rPr>
          <w:szCs w:val="24"/>
        </w:rPr>
        <w:t xml:space="preserve"> er her under en figur</w:t>
      </w:r>
      <w:r w:rsidR="00F0611E">
        <w:rPr>
          <w:szCs w:val="24"/>
        </w:rPr>
        <w:t>,</w:t>
      </w:r>
      <w:r w:rsidRPr="004E4007">
        <w:rPr>
          <w:szCs w:val="24"/>
        </w:rPr>
        <w:t xml:space="preserve"> der illustrere</w:t>
      </w:r>
      <w:r w:rsidR="00F0611E">
        <w:rPr>
          <w:szCs w:val="24"/>
        </w:rPr>
        <w:t>r</w:t>
      </w:r>
      <w:r w:rsidR="00A56397">
        <w:rPr>
          <w:szCs w:val="24"/>
        </w:rPr>
        <w:t>,</w:t>
      </w:r>
      <w:r w:rsidRPr="004E4007">
        <w:rPr>
          <w:szCs w:val="24"/>
        </w:rPr>
        <w:t xml:space="preserve"> hvordan man kommer frem til virksomhedens egenkapital.</w:t>
      </w:r>
    </w:p>
    <w:p w:rsidR="00080376" w:rsidRPr="004E4007" w:rsidRDefault="00080376" w:rsidP="00080376">
      <w:pPr>
        <w:rPr>
          <w:szCs w:val="24"/>
        </w:rPr>
      </w:pPr>
      <w:r w:rsidRPr="004E4007">
        <w:rPr>
          <w:noProof/>
          <w:szCs w:val="24"/>
          <w:lang w:eastAsia="da-DK"/>
        </w:rPr>
        <w:drawing>
          <wp:inline distT="0" distB="0" distL="0" distR="0">
            <wp:extent cx="5210175" cy="4201160"/>
            <wp:effectExtent l="0" t="0" r="9525" b="889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175" cy="4201160"/>
                    </a:xfrm>
                    <a:prstGeom prst="rect">
                      <a:avLst/>
                    </a:prstGeom>
                    <a:noFill/>
                    <a:ln>
                      <a:noFill/>
                    </a:ln>
                  </pic:spPr>
                </pic:pic>
              </a:graphicData>
            </a:graphic>
          </wp:inline>
        </w:drawing>
      </w:r>
    </w:p>
    <w:p w:rsidR="00080376" w:rsidRPr="004E4007" w:rsidRDefault="00DD4B79" w:rsidP="00080376">
      <w:pPr>
        <w:rPr>
          <w:rFonts w:eastAsia="Times New Roman" w:cs="Times New Roman"/>
          <w:color w:val="000000"/>
          <w:szCs w:val="24"/>
          <w:lang w:eastAsia="da-DK"/>
        </w:rPr>
      </w:pPr>
      <w:r w:rsidRPr="004E4007">
        <w:rPr>
          <w:szCs w:val="24"/>
        </w:rPr>
        <w:t>Kilde:</w:t>
      </w:r>
      <w:r w:rsidR="00080376" w:rsidRPr="004E4007">
        <w:rPr>
          <w:szCs w:val="24"/>
        </w:rPr>
        <w:t xml:space="preserve"> </w:t>
      </w:r>
      <w:r w:rsidR="00080376" w:rsidRPr="004E4007">
        <w:rPr>
          <w:rFonts w:eastAsia="Times New Roman" w:cs="Times New Roman"/>
          <w:bCs/>
          <w:color w:val="000000"/>
          <w:szCs w:val="24"/>
          <w:lang w:eastAsia="da-DK"/>
        </w:rPr>
        <w:t>Fagligt notat om den statsautoriserede revisors arbejde i forbindelse med værdiansættelse af virksomheder og virksomhedsandele.</w:t>
      </w:r>
    </w:p>
    <w:p w:rsidR="00846682" w:rsidRDefault="00846682" w:rsidP="00080376">
      <w:pPr>
        <w:rPr>
          <w:shd w:val="clear" w:color="auto" w:fill="FFFFFF"/>
        </w:rPr>
      </w:pPr>
    </w:p>
    <w:p w:rsidR="00846682" w:rsidRDefault="00846682" w:rsidP="00080376">
      <w:pPr>
        <w:rPr>
          <w:shd w:val="clear" w:color="auto" w:fill="FFFFFF"/>
        </w:rPr>
      </w:pPr>
    </w:p>
    <w:p w:rsidR="00846682" w:rsidRDefault="00846682" w:rsidP="00080376">
      <w:pPr>
        <w:rPr>
          <w:shd w:val="clear" w:color="auto" w:fill="FFFFFF"/>
        </w:rPr>
      </w:pPr>
    </w:p>
    <w:p w:rsidR="00846682" w:rsidRDefault="00846682" w:rsidP="00080376">
      <w:pPr>
        <w:rPr>
          <w:shd w:val="clear" w:color="auto" w:fill="FFFFFF"/>
        </w:rPr>
      </w:pPr>
    </w:p>
    <w:p w:rsidR="00E473FF" w:rsidRPr="008B5D35" w:rsidRDefault="008B5D35" w:rsidP="008B5D35">
      <w:pPr>
        <w:pStyle w:val="Overskrift1"/>
      </w:pPr>
      <w:bookmarkStart w:id="3" w:name="_Toc351290060"/>
      <w:r w:rsidRPr="008B5D35">
        <w:lastRenderedPageBreak/>
        <w:t xml:space="preserve">4.0 </w:t>
      </w:r>
      <w:r w:rsidR="00E473FF" w:rsidRPr="008B5D35">
        <w:t>Budgettering</w:t>
      </w:r>
      <w:r w:rsidR="0020502E" w:rsidRPr="008B5D35">
        <w:t xml:space="preserve"> og afgrænsning</w:t>
      </w:r>
      <w:bookmarkEnd w:id="3"/>
    </w:p>
    <w:p w:rsidR="00E473FF" w:rsidRPr="004E4007" w:rsidRDefault="00E473FF" w:rsidP="00E473FF"/>
    <w:p w:rsidR="00E473FF" w:rsidRPr="004E4007" w:rsidRDefault="00E473FF" w:rsidP="00E473FF">
      <w:pPr>
        <w:rPr>
          <w:szCs w:val="24"/>
        </w:rPr>
      </w:pPr>
      <w:r>
        <w:rPr>
          <w:szCs w:val="24"/>
        </w:rPr>
        <w:t>Det er budgetteringen, som danner</w:t>
      </w:r>
      <w:r w:rsidRPr="004E4007">
        <w:rPr>
          <w:szCs w:val="24"/>
        </w:rPr>
        <w:t xml:space="preserve"> grundlag </w:t>
      </w:r>
      <w:r>
        <w:rPr>
          <w:szCs w:val="24"/>
        </w:rPr>
        <w:t>for værdiansættelsen af Pandora</w:t>
      </w:r>
      <w:r w:rsidRPr="004E4007">
        <w:rPr>
          <w:szCs w:val="24"/>
        </w:rPr>
        <w:t xml:space="preserve"> i relation til </w:t>
      </w:r>
      <w:r>
        <w:rPr>
          <w:szCs w:val="24"/>
        </w:rPr>
        <w:t>anvendelsen af</w:t>
      </w:r>
      <w:r w:rsidRPr="004E4007">
        <w:rPr>
          <w:szCs w:val="24"/>
        </w:rPr>
        <w:t xml:space="preserve"> </w:t>
      </w:r>
      <w:r>
        <w:rPr>
          <w:szCs w:val="24"/>
        </w:rPr>
        <w:t>DCF-modellen (</w:t>
      </w:r>
      <w:proofErr w:type="spellStart"/>
      <w:r w:rsidRPr="004E4007">
        <w:rPr>
          <w:szCs w:val="24"/>
        </w:rPr>
        <w:t>Discounted</w:t>
      </w:r>
      <w:proofErr w:type="spellEnd"/>
      <w:r w:rsidRPr="004E4007">
        <w:rPr>
          <w:szCs w:val="24"/>
        </w:rPr>
        <w:t xml:space="preserve"> Cash Flow</w:t>
      </w:r>
      <w:r>
        <w:rPr>
          <w:szCs w:val="24"/>
        </w:rPr>
        <w:t>).</w:t>
      </w:r>
    </w:p>
    <w:p w:rsidR="00E473FF" w:rsidRPr="004E4007" w:rsidRDefault="00E473FF" w:rsidP="00E473FF">
      <w:r w:rsidRPr="004E4007">
        <w:rPr>
          <w:szCs w:val="24"/>
        </w:rPr>
        <w:t xml:space="preserve">Budgettet </w:t>
      </w:r>
      <w:r>
        <w:rPr>
          <w:szCs w:val="24"/>
        </w:rPr>
        <w:t>bør</w:t>
      </w:r>
      <w:r w:rsidRPr="004E4007">
        <w:rPr>
          <w:szCs w:val="24"/>
        </w:rPr>
        <w:t xml:space="preserve"> tage udgan</w:t>
      </w:r>
      <w:r>
        <w:rPr>
          <w:szCs w:val="24"/>
        </w:rPr>
        <w:t xml:space="preserve">gspunkt i </w:t>
      </w:r>
      <w:r w:rsidRPr="004E4007">
        <w:rPr>
          <w:szCs w:val="24"/>
        </w:rPr>
        <w:t xml:space="preserve">en strategisk analyse, </w:t>
      </w:r>
      <w:r>
        <w:rPr>
          <w:szCs w:val="24"/>
        </w:rPr>
        <w:t xml:space="preserve">samt budgetter for </w:t>
      </w:r>
      <w:r w:rsidRPr="004E4007">
        <w:rPr>
          <w:szCs w:val="24"/>
        </w:rPr>
        <w:t>hvordan det forventes</w:t>
      </w:r>
      <w:r>
        <w:rPr>
          <w:szCs w:val="24"/>
        </w:rPr>
        <w:t>,</w:t>
      </w:r>
      <w:r w:rsidRPr="004E4007">
        <w:rPr>
          <w:szCs w:val="24"/>
        </w:rPr>
        <w:t xml:space="preserve"> </w:t>
      </w:r>
      <w:r>
        <w:rPr>
          <w:szCs w:val="24"/>
        </w:rPr>
        <w:t xml:space="preserve">at </w:t>
      </w:r>
      <w:r w:rsidRPr="004E4007">
        <w:rPr>
          <w:szCs w:val="24"/>
        </w:rPr>
        <w:t>Pandora vil udvikle sig i perioden 2012-2016. Normalt estimeres b</w:t>
      </w:r>
      <w:r w:rsidRPr="004E4007">
        <w:t xml:space="preserve">udgetperiodens længde afhængigt af virksomhedens konjunkturfølsomhed og vækstrate, men </w:t>
      </w:r>
      <w:r>
        <w:t xml:space="preserve">det </w:t>
      </w:r>
      <w:r w:rsidRPr="004E4007">
        <w:t>strækker sig oftest over en periode på 3-10 år (Elling m.fl. 2005)</w:t>
      </w:r>
    </w:p>
    <w:p w:rsidR="00E473FF" w:rsidRDefault="009F0097" w:rsidP="00E473FF">
      <w:pPr>
        <w:rPr>
          <w:szCs w:val="24"/>
        </w:rPr>
      </w:pPr>
      <w:r>
        <w:t>For at udregne terminalperioden antages det at</w:t>
      </w:r>
      <w:r w:rsidR="00E473FF" w:rsidRPr="004E4007">
        <w:t xml:space="preserve"> være</w:t>
      </w:r>
      <w:r>
        <w:t xml:space="preserve"> et simpelt</w:t>
      </w:r>
      <w:r w:rsidR="00E473FF" w:rsidRPr="004E4007">
        <w:t xml:space="preserve"> gennemsnitsår</w:t>
      </w:r>
      <w:r>
        <w:t xml:space="preserve"> af regnskabs- og budgetperioden</w:t>
      </w:r>
      <w:r w:rsidR="00E473FF">
        <w:rPr>
          <w:szCs w:val="24"/>
        </w:rPr>
        <w:t>.</w:t>
      </w:r>
    </w:p>
    <w:p w:rsidR="0020502E" w:rsidRDefault="0020502E" w:rsidP="00E473FF">
      <w:pPr>
        <w:rPr>
          <w:szCs w:val="24"/>
        </w:rPr>
      </w:pPr>
      <w:r>
        <w:rPr>
          <w:szCs w:val="24"/>
        </w:rPr>
        <w:t xml:space="preserve">Jeg har valgt at afgrænse mig fra selve budgetteringsfasen i værdiansættelsesfasen og kun fokusere på udregningen af WACC, Beta-værdi, krav til afkastet og tilbagediskonteringen af </w:t>
      </w:r>
      <w:proofErr w:type="spellStart"/>
      <w:r>
        <w:rPr>
          <w:szCs w:val="24"/>
        </w:rPr>
        <w:t>cash</w:t>
      </w:r>
      <w:proofErr w:type="spellEnd"/>
      <w:r>
        <w:rPr>
          <w:szCs w:val="24"/>
        </w:rPr>
        <w:t xml:space="preserve"> flowet for at finde værdien af egenkapitalen i Panduro.</w:t>
      </w:r>
    </w:p>
    <w:p w:rsidR="0020502E" w:rsidRPr="004E4007" w:rsidRDefault="0020502E" w:rsidP="00E473FF">
      <w:pPr>
        <w:rPr>
          <w:szCs w:val="24"/>
        </w:rPr>
      </w:pPr>
    </w:p>
    <w:p w:rsidR="00E473FF" w:rsidRDefault="00E473FF">
      <w:pPr>
        <w:rPr>
          <w:rFonts w:eastAsiaTheme="majorEastAsia" w:cstheme="majorBidi"/>
          <w:b/>
          <w:bCs/>
          <w:color w:val="4F81BD" w:themeColor="accent1"/>
          <w:szCs w:val="24"/>
        </w:rPr>
      </w:pPr>
      <w:r>
        <w:rPr>
          <w:szCs w:val="24"/>
        </w:rPr>
        <w:br w:type="page"/>
      </w:r>
    </w:p>
    <w:p w:rsidR="004E2A86" w:rsidRDefault="004E2A86" w:rsidP="004E2A86">
      <w:pPr>
        <w:pStyle w:val="Overskrift1"/>
      </w:pPr>
      <w:bookmarkStart w:id="4" w:name="_Toc351290061"/>
      <w:r>
        <w:lastRenderedPageBreak/>
        <w:t>5.0 Værdiansættelsen</w:t>
      </w:r>
      <w:bookmarkEnd w:id="4"/>
    </w:p>
    <w:p w:rsidR="00A2158A" w:rsidRPr="00A2158A" w:rsidRDefault="00A2158A" w:rsidP="00A2158A">
      <w:r>
        <w:rPr>
          <w:szCs w:val="24"/>
        </w:rPr>
        <w:t xml:space="preserve">Først skal det frie </w:t>
      </w:r>
      <w:proofErr w:type="spellStart"/>
      <w:r>
        <w:rPr>
          <w:szCs w:val="24"/>
        </w:rPr>
        <w:t>cash</w:t>
      </w:r>
      <w:proofErr w:type="spellEnd"/>
      <w:r>
        <w:rPr>
          <w:szCs w:val="24"/>
        </w:rPr>
        <w:t xml:space="preserve"> flow og terminalværdien udregnes. Så skal WACC findes for at tilbagediskontere hele </w:t>
      </w:r>
      <w:proofErr w:type="spellStart"/>
      <w:r>
        <w:rPr>
          <w:szCs w:val="24"/>
        </w:rPr>
        <w:t>cash</w:t>
      </w:r>
      <w:proofErr w:type="spellEnd"/>
      <w:r>
        <w:rPr>
          <w:szCs w:val="24"/>
        </w:rPr>
        <w:t xml:space="preserve"> flowet</w:t>
      </w:r>
      <w:r w:rsidR="0056076E">
        <w:rPr>
          <w:szCs w:val="24"/>
        </w:rPr>
        <w:t>. Derefter kan værdien af egenkapitalen og værdien af den enkelt aktie beregnes.</w:t>
      </w:r>
    </w:p>
    <w:p w:rsidR="00E473FF" w:rsidRDefault="008B5D35" w:rsidP="004E2A86">
      <w:pPr>
        <w:pStyle w:val="Overskrift2"/>
      </w:pPr>
      <w:bookmarkStart w:id="5" w:name="_Toc351290062"/>
      <w:r>
        <w:t>5.</w:t>
      </w:r>
      <w:r w:rsidR="004E2A86">
        <w:t>1</w:t>
      </w:r>
      <w:r>
        <w:t xml:space="preserve"> </w:t>
      </w:r>
      <w:r w:rsidR="00E473FF">
        <w:t>Det Frie Cash flow</w:t>
      </w:r>
      <w:bookmarkEnd w:id="5"/>
    </w:p>
    <w:p w:rsidR="00846682" w:rsidRPr="004E2A86" w:rsidRDefault="00846682" w:rsidP="004E2A86">
      <w:pPr>
        <w:rPr>
          <w:b/>
        </w:rPr>
      </w:pPr>
      <w:r w:rsidRPr="004E2A86">
        <w:rPr>
          <w:b/>
        </w:rPr>
        <w:t xml:space="preserve">Pandoras frie Cash flow og estimeringen af budget på baggrund af estimerede </w:t>
      </w:r>
      <w:proofErr w:type="spellStart"/>
      <w:r w:rsidRPr="004E2A86">
        <w:rPr>
          <w:b/>
        </w:rPr>
        <w:t>value</w:t>
      </w:r>
      <w:proofErr w:type="spellEnd"/>
      <w:r w:rsidRPr="004E2A86">
        <w:rPr>
          <w:b/>
        </w:rPr>
        <w:t xml:space="preserve"> drivers:</w:t>
      </w:r>
    </w:p>
    <w:tbl>
      <w:tblPr>
        <w:tblW w:w="9804" w:type="dxa"/>
        <w:tblInd w:w="55" w:type="dxa"/>
        <w:tblCellMar>
          <w:left w:w="70" w:type="dxa"/>
          <w:right w:w="70" w:type="dxa"/>
        </w:tblCellMar>
        <w:tblLook w:val="04A0"/>
      </w:tblPr>
      <w:tblGrid>
        <w:gridCol w:w="2552"/>
        <w:gridCol w:w="988"/>
        <w:gridCol w:w="845"/>
        <w:gridCol w:w="1127"/>
        <w:gridCol w:w="888"/>
        <w:gridCol w:w="744"/>
        <w:gridCol w:w="744"/>
        <w:gridCol w:w="846"/>
        <w:gridCol w:w="1070"/>
      </w:tblGrid>
      <w:tr w:rsidR="00846682" w:rsidRPr="005D40D1" w:rsidTr="00072668">
        <w:trPr>
          <w:trHeight w:val="300"/>
        </w:trPr>
        <w:tc>
          <w:tcPr>
            <w:tcW w:w="2552" w:type="dxa"/>
            <w:tcBorders>
              <w:top w:val="single" w:sz="4" w:space="0" w:color="auto"/>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Beløb i 1.000 kr. </w:t>
            </w:r>
          </w:p>
        </w:tc>
        <w:tc>
          <w:tcPr>
            <w:tcW w:w="2960" w:type="dxa"/>
            <w:gridSpan w:val="3"/>
            <w:tcBorders>
              <w:top w:val="single" w:sz="4" w:space="0" w:color="auto"/>
              <w:left w:val="nil"/>
              <w:bottom w:val="nil"/>
              <w:right w:val="single" w:sz="4" w:space="0" w:color="000000"/>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Historik </w:t>
            </w:r>
          </w:p>
        </w:tc>
        <w:tc>
          <w:tcPr>
            <w:tcW w:w="3222" w:type="dxa"/>
            <w:gridSpan w:val="4"/>
            <w:tcBorders>
              <w:top w:val="single" w:sz="4" w:space="0" w:color="auto"/>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Budgetperiode </w:t>
            </w:r>
          </w:p>
        </w:tc>
        <w:tc>
          <w:tcPr>
            <w:tcW w:w="1070" w:type="dxa"/>
            <w:tcBorders>
              <w:top w:val="single" w:sz="4" w:space="0" w:color="auto"/>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Terminal </w:t>
            </w:r>
          </w:p>
        </w:tc>
      </w:tr>
      <w:tr w:rsidR="00846682" w:rsidRPr="005D40D1" w:rsidTr="00072668">
        <w:trPr>
          <w:trHeight w:val="300"/>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846682" w:rsidRPr="00A71651" w:rsidRDefault="00846682" w:rsidP="00072668">
            <w:pPr>
              <w:spacing w:after="0" w:line="240" w:lineRule="auto"/>
              <w:jc w:val="right"/>
              <w:rPr>
                <w:rFonts w:eastAsia="Times New Roman" w:cs="Times New Roman"/>
                <w:color w:val="000000"/>
                <w:szCs w:val="24"/>
                <w:lang w:eastAsia="da-DK"/>
              </w:rPr>
            </w:pPr>
            <w:r w:rsidRPr="00A71651">
              <w:rPr>
                <w:rFonts w:eastAsia="Times New Roman" w:cs="Times New Roman"/>
                <w:color w:val="000000"/>
                <w:szCs w:val="24"/>
                <w:lang w:eastAsia="da-DK"/>
              </w:rPr>
              <w:t xml:space="preserve"> År </w:t>
            </w:r>
          </w:p>
        </w:tc>
        <w:tc>
          <w:tcPr>
            <w:tcW w:w="988" w:type="dxa"/>
            <w:tcBorders>
              <w:top w:val="single" w:sz="4" w:space="0" w:color="auto"/>
              <w:left w:val="single" w:sz="4" w:space="0" w:color="auto"/>
              <w:bottom w:val="single" w:sz="4" w:space="0" w:color="auto"/>
              <w:right w:val="nil"/>
            </w:tcBorders>
            <w:shd w:val="clear" w:color="auto" w:fill="auto"/>
            <w:noWrap/>
            <w:vAlign w:val="bottom"/>
            <w:hideMark/>
          </w:tcPr>
          <w:p w:rsidR="00846682" w:rsidRPr="00A71651" w:rsidRDefault="00846682" w:rsidP="00072668">
            <w:pPr>
              <w:spacing w:after="0" w:line="240" w:lineRule="auto"/>
              <w:jc w:val="right"/>
              <w:rPr>
                <w:rFonts w:eastAsia="Times New Roman" w:cs="Times New Roman"/>
                <w:color w:val="000000"/>
                <w:szCs w:val="24"/>
                <w:lang w:eastAsia="da-DK"/>
              </w:rPr>
            </w:pPr>
            <w:r w:rsidRPr="00A71651">
              <w:rPr>
                <w:rFonts w:eastAsia="Times New Roman" w:cs="Times New Roman"/>
                <w:color w:val="000000"/>
                <w:szCs w:val="24"/>
                <w:lang w:eastAsia="da-DK"/>
              </w:rPr>
              <w:t>2009</w:t>
            </w:r>
          </w:p>
        </w:tc>
        <w:tc>
          <w:tcPr>
            <w:tcW w:w="845" w:type="dxa"/>
            <w:tcBorders>
              <w:top w:val="single" w:sz="4" w:space="0" w:color="auto"/>
              <w:left w:val="nil"/>
              <w:bottom w:val="single" w:sz="4" w:space="0" w:color="auto"/>
              <w:right w:val="nil"/>
            </w:tcBorders>
            <w:shd w:val="clear" w:color="auto" w:fill="auto"/>
            <w:noWrap/>
            <w:vAlign w:val="bottom"/>
            <w:hideMark/>
          </w:tcPr>
          <w:p w:rsidR="00846682" w:rsidRPr="00A71651" w:rsidRDefault="00846682" w:rsidP="00072668">
            <w:pPr>
              <w:spacing w:after="0" w:line="240" w:lineRule="auto"/>
              <w:jc w:val="right"/>
              <w:rPr>
                <w:rFonts w:eastAsia="Times New Roman" w:cs="Times New Roman"/>
                <w:color w:val="000000"/>
                <w:szCs w:val="24"/>
                <w:lang w:eastAsia="da-DK"/>
              </w:rPr>
            </w:pPr>
            <w:r w:rsidRPr="00A71651">
              <w:rPr>
                <w:rFonts w:eastAsia="Times New Roman" w:cs="Times New Roman"/>
                <w:color w:val="000000"/>
                <w:szCs w:val="24"/>
                <w:lang w:eastAsia="da-DK"/>
              </w:rPr>
              <w:t>2010</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846682" w:rsidRPr="00A71651" w:rsidRDefault="00846682" w:rsidP="00072668">
            <w:pPr>
              <w:spacing w:after="0" w:line="240" w:lineRule="auto"/>
              <w:jc w:val="right"/>
              <w:rPr>
                <w:rFonts w:eastAsia="Times New Roman" w:cs="Times New Roman"/>
                <w:color w:val="000000"/>
                <w:szCs w:val="24"/>
                <w:lang w:eastAsia="da-DK"/>
              </w:rPr>
            </w:pPr>
            <w:r w:rsidRPr="00A71651">
              <w:rPr>
                <w:rFonts w:eastAsia="Times New Roman" w:cs="Times New Roman"/>
                <w:color w:val="000000"/>
                <w:szCs w:val="24"/>
                <w:lang w:eastAsia="da-DK"/>
              </w:rPr>
              <w:t>2011</w:t>
            </w:r>
          </w:p>
        </w:tc>
        <w:tc>
          <w:tcPr>
            <w:tcW w:w="888" w:type="dxa"/>
            <w:tcBorders>
              <w:top w:val="single" w:sz="4" w:space="0" w:color="auto"/>
              <w:left w:val="nil"/>
              <w:bottom w:val="single" w:sz="4" w:space="0" w:color="auto"/>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2012E</w:t>
            </w:r>
          </w:p>
        </w:tc>
        <w:tc>
          <w:tcPr>
            <w:tcW w:w="744" w:type="dxa"/>
            <w:tcBorders>
              <w:top w:val="single" w:sz="4" w:space="0" w:color="auto"/>
              <w:left w:val="nil"/>
              <w:bottom w:val="single" w:sz="4" w:space="0" w:color="auto"/>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2013E</w:t>
            </w:r>
          </w:p>
        </w:tc>
        <w:tc>
          <w:tcPr>
            <w:tcW w:w="744" w:type="dxa"/>
            <w:tcBorders>
              <w:top w:val="single" w:sz="4" w:space="0" w:color="auto"/>
              <w:left w:val="nil"/>
              <w:bottom w:val="single" w:sz="4" w:space="0" w:color="auto"/>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2014E</w:t>
            </w:r>
          </w:p>
        </w:tc>
        <w:tc>
          <w:tcPr>
            <w:tcW w:w="846" w:type="dxa"/>
            <w:tcBorders>
              <w:top w:val="single" w:sz="4" w:space="0" w:color="auto"/>
              <w:left w:val="nil"/>
              <w:bottom w:val="single" w:sz="4" w:space="0" w:color="auto"/>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2015E</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2016E</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Nettoomsætning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3.461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6.666 </w:t>
            </w: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6.658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6.325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6.768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7.106 </w:t>
            </w: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7.462 </w:t>
            </w: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7.685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-Driftsomkostninger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2.037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4.250 </w:t>
            </w: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4.600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4.615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4.805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4.920 </w:t>
            </w: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5.059 </w:t>
            </w: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5.180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Lig EBIT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1.424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2.416 </w:t>
            </w: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2.058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1.710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1.963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2.187 </w:t>
            </w: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2.402 </w:t>
            </w: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2.505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4292" w:type="dxa"/>
            <w:gridSpan w:val="5"/>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w:t>
            </w:r>
          </w:p>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 Skat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226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411 </w:t>
            </w: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276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308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353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394 </w:t>
            </w: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432 </w:t>
            </w: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451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Udskudt Skat (</w:t>
            </w:r>
            <w:proofErr w:type="spellStart"/>
            <w:r w:rsidRPr="00A71651">
              <w:rPr>
                <w:rFonts w:eastAsia="Times New Roman" w:cs="Times New Roman"/>
                <w:color w:val="000000"/>
                <w:szCs w:val="24"/>
                <w:lang w:eastAsia="da-DK"/>
              </w:rPr>
              <w:t>afl</w:t>
            </w:r>
            <w:proofErr w:type="spellEnd"/>
            <w:r w:rsidRPr="00A71651">
              <w:rPr>
                <w:rFonts w:eastAsia="Times New Roman" w:cs="Times New Roman"/>
                <w:color w:val="000000"/>
                <w:szCs w:val="24"/>
                <w:lang w:eastAsia="da-DK"/>
              </w:rPr>
              <w:t xml:space="preserve"> i regnskab)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-27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47 </w:t>
            </w: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FF0000"/>
                <w:szCs w:val="24"/>
                <w:lang w:eastAsia="da-DK"/>
              </w:rPr>
            </w:pPr>
            <w:r w:rsidRPr="00A71651">
              <w:rPr>
                <w:rFonts w:eastAsia="Times New Roman" w:cs="Times New Roman"/>
                <w:color w:val="FF0000"/>
                <w:szCs w:val="24"/>
                <w:lang w:eastAsia="da-DK"/>
              </w:rPr>
              <w:t xml:space="preserve">            -54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   </w:t>
            </w: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   </w:t>
            </w: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Lig med Ordinært resultat efter skat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1.171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2.052 </w:t>
            </w: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1.728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1.402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1.610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1.793 </w:t>
            </w: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1.970 </w:t>
            </w: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2.054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Afskrivninger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148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265 </w:t>
            </w: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221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177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177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177 </w:t>
            </w: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177 </w:t>
            </w: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177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Resultat før afskrivninger/efter Skat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1.319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2.317 </w:t>
            </w: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1.949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1.579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1.786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1.970 </w:t>
            </w: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2.147 </w:t>
            </w: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2.231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-Investering i arbejdskapital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348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678 </w:t>
            </w: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Pr>
                <w:rFonts w:eastAsia="Times New Roman" w:cs="Times New Roman"/>
                <w:color w:val="000000"/>
                <w:szCs w:val="24"/>
                <w:lang w:eastAsia="da-DK"/>
              </w:rPr>
              <w:t xml:space="preserve">            </w:t>
            </w:r>
            <w:r w:rsidRPr="00A71651">
              <w:rPr>
                <w:rFonts w:eastAsia="Times New Roman" w:cs="Times New Roman"/>
                <w:color w:val="000000"/>
                <w:szCs w:val="24"/>
                <w:lang w:eastAsia="da-DK"/>
              </w:rPr>
              <w:t>71</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316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338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355 </w:t>
            </w: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373 </w:t>
            </w: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384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-Anlægsaktiver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483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1.389 </w:t>
            </w: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262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367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474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497 </w:t>
            </w: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522 </w:t>
            </w: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538 </w:t>
            </w:r>
          </w:p>
        </w:tc>
      </w:tr>
      <w:tr w:rsidR="00846682" w:rsidRPr="005D40D1" w:rsidTr="00072668">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9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845"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1127"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888"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744"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846" w:type="dxa"/>
            <w:tcBorders>
              <w:top w:val="nil"/>
              <w:left w:val="nil"/>
              <w:bottom w:val="nil"/>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p>
        </w:tc>
        <w:tc>
          <w:tcPr>
            <w:tcW w:w="1070" w:type="dxa"/>
            <w:tcBorders>
              <w:top w:val="nil"/>
              <w:left w:val="nil"/>
              <w:bottom w:val="nil"/>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w:t>
            </w:r>
          </w:p>
        </w:tc>
      </w:tr>
      <w:tr w:rsidR="00846682" w:rsidRPr="005D40D1" w:rsidTr="0007266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FCF </w:t>
            </w:r>
          </w:p>
        </w:tc>
        <w:tc>
          <w:tcPr>
            <w:tcW w:w="988" w:type="dxa"/>
            <w:tcBorders>
              <w:top w:val="nil"/>
              <w:left w:val="nil"/>
              <w:bottom w:val="single" w:sz="4" w:space="0" w:color="auto"/>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488 </w:t>
            </w:r>
          </w:p>
        </w:tc>
        <w:tc>
          <w:tcPr>
            <w:tcW w:w="845" w:type="dxa"/>
            <w:tcBorders>
              <w:top w:val="nil"/>
              <w:left w:val="nil"/>
              <w:bottom w:val="single" w:sz="4" w:space="0" w:color="auto"/>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250 </w:t>
            </w:r>
          </w:p>
        </w:tc>
        <w:tc>
          <w:tcPr>
            <w:tcW w:w="1127" w:type="dxa"/>
            <w:tcBorders>
              <w:top w:val="nil"/>
              <w:left w:val="nil"/>
              <w:bottom w:val="single" w:sz="4" w:space="0" w:color="auto"/>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1.616 </w:t>
            </w:r>
          </w:p>
        </w:tc>
        <w:tc>
          <w:tcPr>
            <w:tcW w:w="888" w:type="dxa"/>
            <w:tcBorders>
              <w:top w:val="nil"/>
              <w:left w:val="nil"/>
              <w:bottom w:val="single" w:sz="4" w:space="0" w:color="auto"/>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896 </w:t>
            </w:r>
          </w:p>
        </w:tc>
        <w:tc>
          <w:tcPr>
            <w:tcW w:w="744" w:type="dxa"/>
            <w:tcBorders>
              <w:top w:val="nil"/>
              <w:left w:val="nil"/>
              <w:bottom w:val="single" w:sz="4" w:space="0" w:color="auto"/>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974 </w:t>
            </w:r>
          </w:p>
        </w:tc>
        <w:tc>
          <w:tcPr>
            <w:tcW w:w="744" w:type="dxa"/>
            <w:tcBorders>
              <w:top w:val="nil"/>
              <w:left w:val="nil"/>
              <w:bottom w:val="single" w:sz="4" w:space="0" w:color="auto"/>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1.117 </w:t>
            </w:r>
          </w:p>
        </w:tc>
        <w:tc>
          <w:tcPr>
            <w:tcW w:w="846" w:type="dxa"/>
            <w:tcBorders>
              <w:top w:val="nil"/>
              <w:left w:val="nil"/>
              <w:bottom w:val="single" w:sz="4" w:space="0" w:color="auto"/>
              <w:right w:val="nil"/>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1.251 </w:t>
            </w:r>
          </w:p>
        </w:tc>
        <w:tc>
          <w:tcPr>
            <w:tcW w:w="1070" w:type="dxa"/>
            <w:tcBorders>
              <w:top w:val="nil"/>
              <w:left w:val="nil"/>
              <w:bottom w:val="single" w:sz="4" w:space="0" w:color="auto"/>
              <w:right w:val="single" w:sz="4" w:space="0" w:color="auto"/>
            </w:tcBorders>
            <w:shd w:val="clear" w:color="auto" w:fill="auto"/>
            <w:noWrap/>
            <w:vAlign w:val="bottom"/>
            <w:hideMark/>
          </w:tcPr>
          <w:p w:rsidR="00846682" w:rsidRPr="00A71651" w:rsidRDefault="00846682" w:rsidP="00072668">
            <w:pPr>
              <w:spacing w:after="0" w:line="240" w:lineRule="auto"/>
              <w:rPr>
                <w:rFonts w:eastAsia="Times New Roman" w:cs="Times New Roman"/>
                <w:color w:val="000000"/>
                <w:szCs w:val="24"/>
                <w:lang w:eastAsia="da-DK"/>
              </w:rPr>
            </w:pPr>
            <w:r w:rsidRPr="00A71651">
              <w:rPr>
                <w:rFonts w:eastAsia="Times New Roman" w:cs="Times New Roman"/>
                <w:color w:val="000000"/>
                <w:szCs w:val="24"/>
                <w:lang w:eastAsia="da-DK"/>
              </w:rPr>
              <w:t xml:space="preserve">         1.309 </w:t>
            </w:r>
          </w:p>
        </w:tc>
      </w:tr>
    </w:tbl>
    <w:p w:rsidR="00846682" w:rsidRDefault="00846682" w:rsidP="00846682">
      <w:pPr>
        <w:rPr>
          <w:sz w:val="23"/>
          <w:szCs w:val="23"/>
        </w:rPr>
      </w:pPr>
    </w:p>
    <w:p w:rsidR="00846682" w:rsidRPr="00846682" w:rsidRDefault="00846682" w:rsidP="00846682">
      <w:pPr>
        <w:rPr>
          <w:szCs w:val="24"/>
        </w:rPr>
      </w:pPr>
      <w:r w:rsidRPr="00846682">
        <w:rPr>
          <w:szCs w:val="24"/>
        </w:rPr>
        <w:t>Jeg har vurderet FCF 2017 og frem til et gennemsnit på 1.000 ud fra de 3 realiserede og 5 budgetterede år. Jeg har anvendt et simpelt gennemsnit og afrundet ((488+250+1616+896+974+1117+1251+1309)/8=987) til 1.000</w:t>
      </w:r>
    </w:p>
    <w:p w:rsidR="00846682" w:rsidRDefault="00846682" w:rsidP="00080376">
      <w:pPr>
        <w:rPr>
          <w:shd w:val="clear" w:color="auto" w:fill="FFFFFF"/>
        </w:rPr>
      </w:pPr>
    </w:p>
    <w:p w:rsidR="00E473FF" w:rsidRDefault="00E473FF" w:rsidP="00080376">
      <w:pPr>
        <w:rPr>
          <w:shd w:val="clear" w:color="auto" w:fill="FFFFFF"/>
        </w:rPr>
      </w:pPr>
    </w:p>
    <w:p w:rsidR="00E473FF" w:rsidRPr="004E2A86" w:rsidRDefault="004E2A86" w:rsidP="004E2A86">
      <w:pPr>
        <w:pStyle w:val="Overskrift2"/>
        <w:rPr>
          <w:sz w:val="28"/>
          <w:szCs w:val="28"/>
        </w:rPr>
      </w:pPr>
      <w:bookmarkStart w:id="6" w:name="_Toc351290063"/>
      <w:r w:rsidRPr="004E2A86">
        <w:rPr>
          <w:sz w:val="28"/>
          <w:szCs w:val="28"/>
        </w:rPr>
        <w:lastRenderedPageBreak/>
        <w:t xml:space="preserve">5.2 </w:t>
      </w:r>
      <w:r w:rsidR="00A2158A">
        <w:rPr>
          <w:sz w:val="28"/>
          <w:szCs w:val="28"/>
        </w:rPr>
        <w:t xml:space="preserve">Formel for </w:t>
      </w:r>
      <w:r w:rsidR="00E473FF" w:rsidRPr="004E2A86">
        <w:rPr>
          <w:sz w:val="28"/>
          <w:szCs w:val="28"/>
        </w:rPr>
        <w:t>WACC</w:t>
      </w:r>
      <w:bookmarkEnd w:id="6"/>
    </w:p>
    <w:p w:rsidR="0020502E" w:rsidRPr="009F0097" w:rsidRDefault="0020502E" w:rsidP="00080376">
      <w:pPr>
        <w:rPr>
          <w:rFonts w:asciiTheme="majorHAnsi" w:hAnsiTheme="majorHAnsi"/>
          <w:shd w:val="clear" w:color="auto" w:fill="FFFFFF"/>
        </w:rPr>
      </w:pPr>
    </w:p>
    <w:p w:rsidR="00080376" w:rsidRPr="004E4007" w:rsidRDefault="00080376" w:rsidP="00080376">
      <w:pPr>
        <w:rPr>
          <w:shd w:val="clear" w:color="auto" w:fill="FFFFFF"/>
        </w:rPr>
      </w:pPr>
      <w:r w:rsidRPr="004E4007">
        <w:rPr>
          <w:shd w:val="clear" w:color="auto" w:fill="FFFFFF"/>
        </w:rPr>
        <w:t>De vægtede gennemsnitlige omkostninger på virksomhedens kapital – på engelsk forkort</w:t>
      </w:r>
      <w:r w:rsidRPr="004E4007">
        <w:rPr>
          <w:shd w:val="clear" w:color="auto" w:fill="FFFFFF"/>
        </w:rPr>
        <w:softHyphen/>
        <w:t>et WACC – er et vægtet gennemsnit af virksomhedens frem</w:t>
      </w:r>
      <w:r w:rsidRPr="004E4007">
        <w:rPr>
          <w:shd w:val="clear" w:color="auto" w:fill="FFFFFF"/>
        </w:rPr>
        <w:softHyphen/>
        <w:t>med</w:t>
      </w:r>
      <w:r w:rsidRPr="004E4007">
        <w:rPr>
          <w:shd w:val="clear" w:color="auto" w:fill="FFFFFF"/>
        </w:rPr>
        <w:softHyphen/>
        <w:t>kapi</w:t>
      </w:r>
      <w:r w:rsidRPr="004E4007">
        <w:rPr>
          <w:shd w:val="clear" w:color="auto" w:fill="FFFFFF"/>
        </w:rPr>
        <w:softHyphen/>
        <w:t>tal</w:t>
      </w:r>
      <w:r w:rsidRPr="004E4007">
        <w:rPr>
          <w:shd w:val="clear" w:color="auto" w:fill="FFFFFF"/>
        </w:rPr>
        <w:softHyphen/>
        <w:t>om</w:t>
      </w:r>
      <w:r w:rsidRPr="004E4007">
        <w:rPr>
          <w:shd w:val="clear" w:color="auto" w:fill="FFFFFF"/>
        </w:rPr>
        <w:softHyphen/>
        <w:t>kost</w:t>
      </w:r>
      <w:r w:rsidRPr="004E4007">
        <w:rPr>
          <w:shd w:val="clear" w:color="auto" w:fill="FFFFFF"/>
        </w:rPr>
        <w:softHyphen/>
        <w:t>ning</w:t>
      </w:r>
      <w:r w:rsidRPr="004E4007">
        <w:rPr>
          <w:shd w:val="clear" w:color="auto" w:fill="FFFFFF"/>
        </w:rPr>
        <w:softHyphen/>
        <w:t>er og virksomhedens egenkapitalomkostninger</w:t>
      </w:r>
    </w:p>
    <w:tbl>
      <w:tblPr>
        <w:tblW w:w="0" w:type="auto"/>
        <w:tblBorders>
          <w:top w:val="nil"/>
          <w:left w:val="nil"/>
          <w:bottom w:val="nil"/>
          <w:right w:val="nil"/>
        </w:tblBorders>
        <w:tblLayout w:type="fixed"/>
        <w:tblLook w:val="0000"/>
      </w:tblPr>
      <w:tblGrid>
        <w:gridCol w:w="1231"/>
        <w:gridCol w:w="1996"/>
        <w:gridCol w:w="302"/>
        <w:gridCol w:w="1231"/>
        <w:gridCol w:w="2106"/>
        <w:gridCol w:w="1039"/>
        <w:gridCol w:w="192"/>
      </w:tblGrid>
      <w:tr w:rsidR="00080376" w:rsidRPr="00EF7D7F" w:rsidTr="004E4007">
        <w:trPr>
          <w:trHeight w:val="277"/>
        </w:trPr>
        <w:tc>
          <w:tcPr>
            <w:tcW w:w="1231" w:type="dxa"/>
          </w:tcPr>
          <w:p w:rsidR="00080376" w:rsidRPr="00EF7D7F" w:rsidRDefault="00080376" w:rsidP="004E4007">
            <w:pPr>
              <w:autoSpaceDE w:val="0"/>
              <w:autoSpaceDN w:val="0"/>
              <w:adjustRightInd w:val="0"/>
              <w:spacing w:after="0" w:line="240" w:lineRule="auto"/>
              <w:rPr>
                <w:rFonts w:cs="Calibri"/>
                <w:color w:val="000000"/>
              </w:rPr>
            </w:pPr>
            <w:r w:rsidRPr="004E4007">
              <w:rPr>
                <w:rFonts w:cs="Calibri"/>
                <w:color w:val="000000"/>
              </w:rPr>
              <w:t>WACC</w:t>
            </w:r>
            <w:r w:rsidRPr="00EF7D7F">
              <w:rPr>
                <w:rFonts w:cs="Calibri"/>
                <w:color w:val="000000"/>
              </w:rPr>
              <w:t xml:space="preserve"> = </w:t>
            </w:r>
          </w:p>
        </w:tc>
        <w:tc>
          <w:tcPr>
            <w:tcW w:w="2298" w:type="dxa"/>
            <w:gridSpan w:val="2"/>
          </w:tcPr>
          <w:p w:rsidR="00080376" w:rsidRPr="00EF7D7F" w:rsidRDefault="00080376" w:rsidP="004E4007">
            <w:pPr>
              <w:autoSpaceDE w:val="0"/>
              <w:autoSpaceDN w:val="0"/>
              <w:adjustRightInd w:val="0"/>
              <w:spacing w:after="0" w:line="240" w:lineRule="auto"/>
              <w:rPr>
                <w:rFonts w:cs="Calibri"/>
                <w:color w:val="000000"/>
                <w:u w:val="single"/>
              </w:rPr>
            </w:pPr>
            <w:r w:rsidRPr="00EF7D7F">
              <w:rPr>
                <w:rFonts w:cs="Calibri"/>
                <w:color w:val="000000"/>
                <w:u w:val="single"/>
              </w:rPr>
              <w:t>Egenkapita</w:t>
            </w:r>
            <w:r w:rsidRPr="004E4007">
              <w:rPr>
                <w:rFonts w:cs="Calibri"/>
                <w:color w:val="000000"/>
                <w:u w:val="single"/>
              </w:rPr>
              <w:t>l</w:t>
            </w:r>
            <w:r w:rsidRPr="00EF7D7F">
              <w:rPr>
                <w:rFonts w:cs="Calibri"/>
                <w:color w:val="000000"/>
                <w:u w:val="single"/>
              </w:rPr>
              <w:t xml:space="preserve"> </w:t>
            </w:r>
          </w:p>
        </w:tc>
        <w:tc>
          <w:tcPr>
            <w:tcW w:w="1231" w:type="dxa"/>
          </w:tcPr>
          <w:p w:rsidR="00080376" w:rsidRPr="00EF7D7F" w:rsidRDefault="00080376" w:rsidP="004E4007">
            <w:pPr>
              <w:autoSpaceDE w:val="0"/>
              <w:autoSpaceDN w:val="0"/>
              <w:adjustRightInd w:val="0"/>
              <w:spacing w:after="0" w:line="240" w:lineRule="auto"/>
              <w:rPr>
                <w:rFonts w:cs="Calibri"/>
                <w:color w:val="000000"/>
              </w:rPr>
            </w:pPr>
            <w:r w:rsidRPr="00EF7D7F">
              <w:rPr>
                <w:rFonts w:cs="Calibri"/>
                <w:color w:val="000000"/>
              </w:rPr>
              <w:t xml:space="preserve">* Re + </w:t>
            </w:r>
          </w:p>
        </w:tc>
        <w:tc>
          <w:tcPr>
            <w:tcW w:w="2106" w:type="dxa"/>
          </w:tcPr>
          <w:p w:rsidR="00080376" w:rsidRPr="00EF7D7F" w:rsidRDefault="00080376" w:rsidP="004E4007">
            <w:pPr>
              <w:autoSpaceDE w:val="0"/>
              <w:autoSpaceDN w:val="0"/>
              <w:adjustRightInd w:val="0"/>
              <w:spacing w:after="0" w:line="240" w:lineRule="auto"/>
              <w:rPr>
                <w:rFonts w:cs="Calibri"/>
                <w:color w:val="000000"/>
                <w:u w:val="single"/>
              </w:rPr>
            </w:pPr>
            <w:r w:rsidRPr="00EF7D7F">
              <w:rPr>
                <w:rFonts w:cs="Calibri"/>
                <w:color w:val="000000"/>
                <w:u w:val="single"/>
              </w:rPr>
              <w:t>Gæld</w:t>
            </w:r>
            <w:r w:rsidRPr="004E4007">
              <w:rPr>
                <w:rFonts w:cs="Calibri"/>
                <w:color w:val="000000"/>
                <w:u w:val="single"/>
              </w:rPr>
              <w:t xml:space="preserve">            </w:t>
            </w:r>
            <w:r w:rsidRPr="00EF7D7F">
              <w:rPr>
                <w:rFonts w:cs="Calibri"/>
                <w:color w:val="000000"/>
                <w:u w:val="single"/>
              </w:rPr>
              <w:t xml:space="preserve"> </w:t>
            </w:r>
          </w:p>
        </w:tc>
        <w:tc>
          <w:tcPr>
            <w:tcW w:w="1231" w:type="dxa"/>
            <w:gridSpan w:val="2"/>
          </w:tcPr>
          <w:p w:rsidR="00080376" w:rsidRPr="00EF7D7F" w:rsidRDefault="00080376" w:rsidP="004E4007">
            <w:pPr>
              <w:autoSpaceDE w:val="0"/>
              <w:autoSpaceDN w:val="0"/>
              <w:adjustRightInd w:val="0"/>
              <w:spacing w:after="0" w:line="240" w:lineRule="auto"/>
              <w:rPr>
                <w:rFonts w:cs="Calibri"/>
                <w:color w:val="000000"/>
              </w:rPr>
            </w:pPr>
            <w:r w:rsidRPr="00EF7D7F">
              <w:rPr>
                <w:rFonts w:cs="Calibri"/>
                <w:color w:val="000000"/>
              </w:rPr>
              <w:t xml:space="preserve">* </w:t>
            </w:r>
            <w:proofErr w:type="spellStart"/>
            <w:r w:rsidRPr="00EF7D7F">
              <w:rPr>
                <w:rFonts w:cs="Calibri"/>
                <w:color w:val="000000"/>
              </w:rPr>
              <w:t>Rg</w:t>
            </w:r>
            <w:proofErr w:type="spellEnd"/>
            <w:r w:rsidRPr="00EF7D7F">
              <w:rPr>
                <w:rFonts w:cs="Calibri"/>
                <w:color w:val="000000"/>
              </w:rPr>
              <w:t xml:space="preserve"> </w:t>
            </w:r>
          </w:p>
        </w:tc>
      </w:tr>
      <w:tr w:rsidR="00080376" w:rsidRPr="00EF7D7F" w:rsidTr="00670E1A">
        <w:trPr>
          <w:gridAfter w:val="1"/>
          <w:wAfter w:w="192" w:type="dxa"/>
          <w:trHeight w:val="110"/>
        </w:trPr>
        <w:tc>
          <w:tcPr>
            <w:tcW w:w="3227" w:type="dxa"/>
            <w:gridSpan w:val="2"/>
          </w:tcPr>
          <w:p w:rsidR="00080376" w:rsidRPr="00EF7D7F" w:rsidRDefault="00080376" w:rsidP="004E4007">
            <w:pPr>
              <w:autoSpaceDE w:val="0"/>
              <w:autoSpaceDN w:val="0"/>
              <w:adjustRightInd w:val="0"/>
              <w:spacing w:after="0" w:line="240" w:lineRule="auto"/>
              <w:rPr>
                <w:rFonts w:cs="Calibri"/>
                <w:color w:val="000000"/>
              </w:rPr>
            </w:pPr>
            <w:r w:rsidRPr="004E4007">
              <w:rPr>
                <w:rFonts w:cs="Calibri"/>
                <w:color w:val="000000"/>
              </w:rPr>
              <w:t xml:space="preserve">                 </w:t>
            </w:r>
            <w:r w:rsidRPr="00EF7D7F">
              <w:rPr>
                <w:rFonts w:cs="Calibri"/>
                <w:color w:val="000000"/>
              </w:rPr>
              <w:t xml:space="preserve">Gæld + Egenkapital </w:t>
            </w:r>
          </w:p>
        </w:tc>
        <w:tc>
          <w:tcPr>
            <w:tcW w:w="4678" w:type="dxa"/>
            <w:gridSpan w:val="4"/>
          </w:tcPr>
          <w:p w:rsidR="00080376" w:rsidRPr="00EF7D7F" w:rsidRDefault="00080376" w:rsidP="004E4007">
            <w:pPr>
              <w:autoSpaceDE w:val="0"/>
              <w:autoSpaceDN w:val="0"/>
              <w:adjustRightInd w:val="0"/>
              <w:spacing w:after="0" w:line="240" w:lineRule="auto"/>
              <w:rPr>
                <w:rFonts w:cs="Calibri"/>
                <w:color w:val="000000"/>
              </w:rPr>
            </w:pPr>
            <w:r w:rsidRPr="004E4007">
              <w:rPr>
                <w:rFonts w:cs="Calibri"/>
                <w:color w:val="000000"/>
              </w:rPr>
              <w:t xml:space="preserve">                     </w:t>
            </w:r>
            <w:r w:rsidRPr="00EF7D7F">
              <w:rPr>
                <w:rFonts w:cs="Calibri"/>
                <w:color w:val="000000"/>
              </w:rPr>
              <w:t xml:space="preserve">Gæld + Egenkapital </w:t>
            </w:r>
          </w:p>
        </w:tc>
      </w:tr>
      <w:tr w:rsidR="00080376" w:rsidRPr="004E4007" w:rsidTr="00670E1A">
        <w:trPr>
          <w:gridAfter w:val="1"/>
          <w:wAfter w:w="192" w:type="dxa"/>
          <w:trHeight w:val="110"/>
        </w:trPr>
        <w:tc>
          <w:tcPr>
            <w:tcW w:w="3227" w:type="dxa"/>
            <w:gridSpan w:val="2"/>
          </w:tcPr>
          <w:p w:rsidR="00080376" w:rsidRPr="004E4007" w:rsidRDefault="00080376" w:rsidP="004E4007">
            <w:pPr>
              <w:autoSpaceDE w:val="0"/>
              <w:autoSpaceDN w:val="0"/>
              <w:adjustRightInd w:val="0"/>
              <w:spacing w:after="0" w:line="240" w:lineRule="auto"/>
              <w:rPr>
                <w:rFonts w:cs="Calibri"/>
                <w:color w:val="000000"/>
              </w:rPr>
            </w:pPr>
          </w:p>
        </w:tc>
        <w:tc>
          <w:tcPr>
            <w:tcW w:w="4678" w:type="dxa"/>
            <w:gridSpan w:val="4"/>
          </w:tcPr>
          <w:p w:rsidR="00080376" w:rsidRPr="004E4007" w:rsidRDefault="00080376" w:rsidP="004E4007">
            <w:pPr>
              <w:autoSpaceDE w:val="0"/>
              <w:autoSpaceDN w:val="0"/>
              <w:adjustRightInd w:val="0"/>
              <w:spacing w:after="0" w:line="240" w:lineRule="auto"/>
              <w:rPr>
                <w:rFonts w:cs="Calibri"/>
                <w:color w:val="000000"/>
              </w:rPr>
            </w:pPr>
          </w:p>
        </w:tc>
      </w:tr>
    </w:tbl>
    <w:p w:rsidR="00080376" w:rsidRPr="00EF7D7F" w:rsidRDefault="00080376" w:rsidP="00080376">
      <w:pPr>
        <w:autoSpaceDE w:val="0"/>
        <w:autoSpaceDN w:val="0"/>
        <w:adjustRightInd w:val="0"/>
        <w:spacing w:after="0" w:line="240" w:lineRule="auto"/>
        <w:rPr>
          <w:rFonts w:cs="Calibri"/>
          <w:color w:val="000000"/>
          <w:sz w:val="23"/>
          <w:szCs w:val="23"/>
        </w:rPr>
      </w:pPr>
      <w:r w:rsidRPr="004E4007">
        <w:rPr>
          <w:rFonts w:cs="Calibri"/>
          <w:color w:val="000000"/>
          <w:sz w:val="23"/>
          <w:szCs w:val="23"/>
        </w:rPr>
        <w:t>WACC</w:t>
      </w:r>
      <w:r w:rsidRPr="00EF7D7F">
        <w:rPr>
          <w:rFonts w:cs="Calibri"/>
          <w:color w:val="000000"/>
          <w:sz w:val="23"/>
          <w:szCs w:val="23"/>
        </w:rPr>
        <w:t xml:space="preserve"> = Vægtede gennemsnitlige kapitalomkostninger </w:t>
      </w:r>
    </w:p>
    <w:p w:rsidR="00080376" w:rsidRPr="00EF7D7F" w:rsidRDefault="00080376" w:rsidP="00080376">
      <w:pPr>
        <w:autoSpaceDE w:val="0"/>
        <w:autoSpaceDN w:val="0"/>
        <w:adjustRightInd w:val="0"/>
        <w:spacing w:after="0" w:line="240" w:lineRule="auto"/>
        <w:rPr>
          <w:rFonts w:cs="Calibri"/>
          <w:color w:val="000000"/>
          <w:sz w:val="23"/>
          <w:szCs w:val="23"/>
        </w:rPr>
      </w:pPr>
      <w:r w:rsidRPr="00EF7D7F">
        <w:rPr>
          <w:rFonts w:cs="Calibri"/>
          <w:color w:val="000000"/>
          <w:sz w:val="23"/>
          <w:szCs w:val="23"/>
        </w:rPr>
        <w:t xml:space="preserve">Re = Ejernes afkastningskrav </w:t>
      </w:r>
    </w:p>
    <w:p w:rsidR="00080376" w:rsidRPr="004E4007" w:rsidRDefault="00080376" w:rsidP="00080376">
      <w:pPr>
        <w:rPr>
          <w:rFonts w:cs="Calibri"/>
          <w:color w:val="000000"/>
          <w:sz w:val="23"/>
          <w:szCs w:val="23"/>
        </w:rPr>
      </w:pPr>
      <w:proofErr w:type="spellStart"/>
      <w:r w:rsidRPr="004E4007">
        <w:rPr>
          <w:rFonts w:cs="Calibri"/>
          <w:color w:val="000000"/>
          <w:sz w:val="23"/>
          <w:szCs w:val="23"/>
        </w:rPr>
        <w:t>Rg</w:t>
      </w:r>
      <w:proofErr w:type="spellEnd"/>
      <w:r w:rsidRPr="004E4007">
        <w:rPr>
          <w:rFonts w:cs="Calibri"/>
          <w:color w:val="000000"/>
          <w:sz w:val="23"/>
          <w:szCs w:val="23"/>
        </w:rPr>
        <w:t xml:space="preserve"> = Finansielle omkostninger efter skat</w:t>
      </w:r>
    </w:p>
    <w:p w:rsidR="00670E1A" w:rsidRDefault="00080376" w:rsidP="00080376">
      <w:pPr>
        <w:rPr>
          <w:rFonts w:cs="Calibri"/>
          <w:color w:val="000000"/>
          <w:sz w:val="23"/>
          <w:szCs w:val="23"/>
        </w:rPr>
      </w:pPr>
      <w:r w:rsidRPr="004E4007">
        <w:rPr>
          <w:rFonts w:cs="Calibri"/>
          <w:color w:val="000000"/>
          <w:sz w:val="23"/>
          <w:szCs w:val="23"/>
        </w:rPr>
        <w:t xml:space="preserve">Der </w:t>
      </w:r>
      <w:r w:rsidR="00670E1A">
        <w:rPr>
          <w:rFonts w:cs="Calibri"/>
          <w:color w:val="000000"/>
          <w:sz w:val="23"/>
          <w:szCs w:val="23"/>
        </w:rPr>
        <w:t>skal derfor beregnes på kapital</w:t>
      </w:r>
      <w:r w:rsidRPr="004E4007">
        <w:rPr>
          <w:rFonts w:cs="Calibri"/>
          <w:color w:val="000000"/>
          <w:sz w:val="23"/>
          <w:szCs w:val="23"/>
        </w:rPr>
        <w:t>strukturen, før vi kan beregne ovenstående.</w:t>
      </w:r>
    </w:p>
    <w:p w:rsidR="00080376" w:rsidRPr="004E2A86" w:rsidRDefault="00670E1A" w:rsidP="00A2158A">
      <w:pPr>
        <w:pStyle w:val="Overskrift3"/>
      </w:pPr>
      <w:r>
        <w:br w:type="page"/>
      </w:r>
      <w:bookmarkStart w:id="7" w:name="_Toc351290064"/>
      <w:r w:rsidR="004E2A86" w:rsidRPr="004E2A86">
        <w:lastRenderedPageBreak/>
        <w:t>5.</w:t>
      </w:r>
      <w:r w:rsidR="004E2A86">
        <w:t>2.1</w:t>
      </w:r>
      <w:r w:rsidR="004E2A86" w:rsidRPr="004E2A86">
        <w:t xml:space="preserve"> </w:t>
      </w:r>
      <w:r w:rsidR="00080376" w:rsidRPr="004E2A86">
        <w:t>Kapitalstrukturen</w:t>
      </w:r>
      <w:bookmarkEnd w:id="7"/>
    </w:p>
    <w:p w:rsidR="00080376" w:rsidRPr="004E4007" w:rsidRDefault="00080376" w:rsidP="00080376">
      <w:proofErr w:type="spellStart"/>
      <w:r w:rsidRPr="004E4007">
        <w:t>WACC’en</w:t>
      </w:r>
      <w:proofErr w:type="spellEnd"/>
      <w:r w:rsidRPr="004E4007">
        <w:t xml:space="preserve"> er en diskonteringsfaktor til udregning af virksomhedens værdi i DCF-modellen. WACC står for de vægtede gennemsnitlige kapitalomkostninger og tager udgangspunkt i tre faktorer; egenkapitalomkostninger, kapitalomkostninger og kapitalstrukturen. Pandora benytter primære finansieringsformer såsom egenkapit</w:t>
      </w:r>
      <w:r w:rsidR="00F0611E">
        <w:t xml:space="preserve">al og </w:t>
      </w:r>
      <w:r w:rsidRPr="004E4007">
        <w:t>gældsforpligtelser, hvorfor WACC beregnes ud fra afkastkravet til aktionærer og lå</w:t>
      </w:r>
      <w:r w:rsidR="00A56397">
        <w:t>ngivere. Aktionærernes forventede</w:t>
      </w:r>
      <w:r w:rsidRPr="004E4007">
        <w:t xml:space="preserve"> afkast skal svare til en alternativ forrentning, de kan opnå ved at investere i en anden virksomhed med samme risikoprofil</w:t>
      </w:r>
      <w:r w:rsidRPr="004E4007">
        <w:rPr>
          <w:rStyle w:val="Fodnotehenvisning"/>
        </w:rPr>
        <w:footnoteReference w:id="2"/>
      </w:r>
    </w:p>
    <w:tbl>
      <w:tblPr>
        <w:tblpPr w:leftFromText="141" w:rightFromText="141" w:vertAnchor="text" w:tblpY="1"/>
        <w:tblOverlap w:val="never"/>
        <w:tblW w:w="4800" w:type="dxa"/>
        <w:tblCellMar>
          <w:left w:w="70" w:type="dxa"/>
          <w:right w:w="70" w:type="dxa"/>
        </w:tblCellMar>
        <w:tblLook w:val="04A0"/>
      </w:tblPr>
      <w:tblGrid>
        <w:gridCol w:w="1729"/>
        <w:gridCol w:w="195"/>
        <w:gridCol w:w="960"/>
        <w:gridCol w:w="960"/>
        <w:gridCol w:w="960"/>
      </w:tblGrid>
      <w:tr w:rsidR="00080376" w:rsidRPr="00AC6DFB" w:rsidTr="004E4007">
        <w:trPr>
          <w:trHeight w:val="330"/>
        </w:trPr>
        <w:tc>
          <w:tcPr>
            <w:tcW w:w="192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080376" w:rsidRPr="00AC6DFB" w:rsidRDefault="00080376" w:rsidP="004E4007">
            <w:pPr>
              <w:spacing w:after="0" w:line="240" w:lineRule="auto"/>
              <w:rPr>
                <w:rFonts w:eastAsia="Times New Roman" w:cs="Times New Roman"/>
                <w:color w:val="000000"/>
                <w:szCs w:val="24"/>
                <w:lang w:eastAsia="da-DK"/>
              </w:rPr>
            </w:pPr>
            <w:r w:rsidRPr="00AC6DFB">
              <w:rPr>
                <w:rFonts w:eastAsia="Times New Roman" w:cs="Times New Roman"/>
                <w:color w:val="000000"/>
                <w:szCs w:val="24"/>
                <w:lang w:eastAsia="da-DK"/>
              </w:rPr>
              <w:t>Kapitalstruktur</w:t>
            </w:r>
          </w:p>
        </w:tc>
        <w:tc>
          <w:tcPr>
            <w:tcW w:w="960" w:type="dxa"/>
            <w:tcBorders>
              <w:top w:val="single" w:sz="8" w:space="0" w:color="auto"/>
              <w:left w:val="nil"/>
              <w:bottom w:val="single" w:sz="8" w:space="0" w:color="auto"/>
              <w:right w:val="nil"/>
            </w:tcBorders>
            <w:shd w:val="clear" w:color="auto" w:fill="auto"/>
            <w:noWrap/>
            <w:vAlign w:val="bottom"/>
            <w:hideMark/>
          </w:tcPr>
          <w:p w:rsidR="00080376" w:rsidRPr="00AC6DFB" w:rsidRDefault="00080376"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2009</w:t>
            </w:r>
          </w:p>
        </w:tc>
        <w:tc>
          <w:tcPr>
            <w:tcW w:w="960" w:type="dxa"/>
            <w:tcBorders>
              <w:top w:val="single" w:sz="8" w:space="0" w:color="auto"/>
              <w:left w:val="nil"/>
              <w:bottom w:val="single" w:sz="8" w:space="0" w:color="auto"/>
              <w:right w:val="nil"/>
            </w:tcBorders>
            <w:shd w:val="clear" w:color="auto" w:fill="auto"/>
            <w:noWrap/>
            <w:vAlign w:val="bottom"/>
            <w:hideMark/>
          </w:tcPr>
          <w:p w:rsidR="00080376" w:rsidRPr="00AC6DFB" w:rsidRDefault="00080376"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2010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080376" w:rsidRPr="00AC6DFB" w:rsidRDefault="00080376"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2011</w:t>
            </w:r>
          </w:p>
        </w:tc>
      </w:tr>
      <w:tr w:rsidR="00080376" w:rsidRPr="004E4007" w:rsidTr="004E4007">
        <w:trPr>
          <w:trHeight w:val="315"/>
        </w:trPr>
        <w:tc>
          <w:tcPr>
            <w:tcW w:w="1920" w:type="dxa"/>
            <w:gridSpan w:val="2"/>
            <w:tcBorders>
              <w:top w:val="nil"/>
              <w:left w:val="single" w:sz="8" w:space="0" w:color="auto"/>
              <w:bottom w:val="nil"/>
              <w:right w:val="single" w:sz="8" w:space="0" w:color="000000"/>
            </w:tcBorders>
            <w:shd w:val="clear" w:color="auto" w:fill="auto"/>
            <w:noWrap/>
            <w:vAlign w:val="center"/>
            <w:hideMark/>
          </w:tcPr>
          <w:p w:rsidR="00080376" w:rsidRPr="00AC6DFB" w:rsidRDefault="00080376" w:rsidP="004E4007">
            <w:pPr>
              <w:spacing w:after="0" w:line="240" w:lineRule="auto"/>
              <w:rPr>
                <w:rFonts w:eastAsia="Times New Roman" w:cs="Times New Roman"/>
                <w:color w:val="000000"/>
                <w:szCs w:val="24"/>
                <w:lang w:eastAsia="da-DK"/>
              </w:rPr>
            </w:pPr>
            <w:r w:rsidRPr="00AC6DFB">
              <w:rPr>
                <w:rFonts w:eastAsia="Times New Roman" w:cs="Times New Roman"/>
                <w:color w:val="000000"/>
                <w:szCs w:val="24"/>
                <w:lang w:eastAsia="da-DK"/>
              </w:rPr>
              <w:t>Egenkapital</w:t>
            </w:r>
          </w:p>
        </w:tc>
        <w:tc>
          <w:tcPr>
            <w:tcW w:w="960" w:type="dxa"/>
            <w:tcBorders>
              <w:top w:val="nil"/>
              <w:left w:val="nil"/>
              <w:bottom w:val="nil"/>
              <w:right w:val="nil"/>
            </w:tcBorders>
            <w:shd w:val="clear" w:color="000000" w:fill="FFFF00"/>
            <w:noWrap/>
            <w:vAlign w:val="bottom"/>
            <w:hideMark/>
          </w:tcPr>
          <w:p w:rsidR="00080376" w:rsidRPr="00AC6DFB" w:rsidRDefault="00080376"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1649</w:t>
            </w:r>
          </w:p>
        </w:tc>
        <w:tc>
          <w:tcPr>
            <w:tcW w:w="960" w:type="dxa"/>
            <w:tcBorders>
              <w:top w:val="nil"/>
              <w:left w:val="nil"/>
              <w:bottom w:val="nil"/>
              <w:right w:val="nil"/>
            </w:tcBorders>
            <w:shd w:val="clear" w:color="000000" w:fill="FFFF00"/>
            <w:noWrap/>
            <w:vAlign w:val="bottom"/>
            <w:hideMark/>
          </w:tcPr>
          <w:p w:rsidR="00080376" w:rsidRPr="00AC6DFB" w:rsidRDefault="00080376"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4315</w:t>
            </w:r>
          </w:p>
        </w:tc>
        <w:tc>
          <w:tcPr>
            <w:tcW w:w="960" w:type="dxa"/>
            <w:tcBorders>
              <w:top w:val="nil"/>
              <w:left w:val="nil"/>
              <w:bottom w:val="nil"/>
              <w:right w:val="single" w:sz="8" w:space="0" w:color="auto"/>
            </w:tcBorders>
            <w:shd w:val="clear" w:color="000000" w:fill="FFFF00"/>
            <w:noWrap/>
            <w:vAlign w:val="bottom"/>
            <w:hideMark/>
          </w:tcPr>
          <w:p w:rsidR="00080376" w:rsidRPr="00AC6DFB" w:rsidRDefault="00080376"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5411</w:t>
            </w:r>
          </w:p>
        </w:tc>
      </w:tr>
      <w:tr w:rsidR="00080376" w:rsidRPr="004E4007" w:rsidTr="004E4007">
        <w:trPr>
          <w:trHeight w:val="315"/>
        </w:trPr>
        <w:tc>
          <w:tcPr>
            <w:tcW w:w="1729" w:type="dxa"/>
            <w:tcBorders>
              <w:top w:val="nil"/>
              <w:left w:val="single" w:sz="8" w:space="0" w:color="auto"/>
              <w:bottom w:val="nil"/>
              <w:right w:val="nil"/>
            </w:tcBorders>
            <w:shd w:val="clear" w:color="auto" w:fill="auto"/>
            <w:noWrap/>
            <w:vAlign w:val="center"/>
            <w:hideMark/>
          </w:tcPr>
          <w:p w:rsidR="00080376" w:rsidRPr="00AC6DFB" w:rsidRDefault="00080376" w:rsidP="004E4007">
            <w:pPr>
              <w:spacing w:after="0" w:line="240" w:lineRule="auto"/>
              <w:rPr>
                <w:rFonts w:eastAsia="Times New Roman" w:cs="Times New Roman"/>
                <w:color w:val="000000"/>
                <w:szCs w:val="24"/>
                <w:lang w:eastAsia="da-DK"/>
              </w:rPr>
            </w:pPr>
            <w:r w:rsidRPr="00AC6DFB">
              <w:rPr>
                <w:rFonts w:eastAsia="Times New Roman" w:cs="Times New Roman"/>
                <w:color w:val="000000"/>
                <w:szCs w:val="24"/>
                <w:lang w:eastAsia="da-DK"/>
              </w:rPr>
              <w:t>Aktiver</w:t>
            </w:r>
          </w:p>
        </w:tc>
        <w:tc>
          <w:tcPr>
            <w:tcW w:w="191" w:type="dxa"/>
            <w:tcBorders>
              <w:top w:val="nil"/>
              <w:left w:val="nil"/>
              <w:bottom w:val="nil"/>
              <w:right w:val="single" w:sz="8" w:space="0" w:color="auto"/>
            </w:tcBorders>
            <w:shd w:val="clear" w:color="auto" w:fill="auto"/>
            <w:noWrap/>
            <w:vAlign w:val="bottom"/>
            <w:hideMark/>
          </w:tcPr>
          <w:p w:rsidR="00080376" w:rsidRPr="00AC6DFB" w:rsidRDefault="00080376" w:rsidP="004E4007">
            <w:pPr>
              <w:spacing w:after="0" w:line="240" w:lineRule="auto"/>
              <w:rPr>
                <w:rFonts w:eastAsia="Times New Roman" w:cs="Times New Roman"/>
                <w:color w:val="000000"/>
                <w:lang w:eastAsia="da-DK"/>
              </w:rPr>
            </w:pPr>
            <w:r w:rsidRPr="00AC6DFB">
              <w:rPr>
                <w:rFonts w:eastAsia="Times New Roman" w:cs="Times New Roman"/>
                <w:color w:val="000000"/>
                <w:lang w:eastAsia="da-DK"/>
              </w:rPr>
              <w:t> </w:t>
            </w:r>
          </w:p>
        </w:tc>
        <w:tc>
          <w:tcPr>
            <w:tcW w:w="960" w:type="dxa"/>
            <w:tcBorders>
              <w:top w:val="nil"/>
              <w:left w:val="nil"/>
              <w:bottom w:val="nil"/>
              <w:right w:val="nil"/>
            </w:tcBorders>
            <w:shd w:val="clear" w:color="000000" w:fill="FFFF00"/>
            <w:noWrap/>
            <w:vAlign w:val="bottom"/>
            <w:hideMark/>
          </w:tcPr>
          <w:p w:rsidR="00080376" w:rsidRPr="00AC6DFB" w:rsidRDefault="00080376"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5816</w:t>
            </w:r>
          </w:p>
        </w:tc>
        <w:tc>
          <w:tcPr>
            <w:tcW w:w="960" w:type="dxa"/>
            <w:tcBorders>
              <w:top w:val="nil"/>
              <w:left w:val="nil"/>
              <w:bottom w:val="nil"/>
              <w:right w:val="nil"/>
            </w:tcBorders>
            <w:shd w:val="clear" w:color="000000" w:fill="FFFF00"/>
            <w:noWrap/>
            <w:vAlign w:val="bottom"/>
            <w:hideMark/>
          </w:tcPr>
          <w:p w:rsidR="00080376" w:rsidRPr="00AC6DFB" w:rsidRDefault="00080376"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8959</w:t>
            </w:r>
          </w:p>
        </w:tc>
        <w:tc>
          <w:tcPr>
            <w:tcW w:w="960" w:type="dxa"/>
            <w:tcBorders>
              <w:top w:val="nil"/>
              <w:left w:val="nil"/>
              <w:bottom w:val="nil"/>
              <w:right w:val="single" w:sz="8" w:space="0" w:color="auto"/>
            </w:tcBorders>
            <w:shd w:val="clear" w:color="000000" w:fill="FFFF00"/>
            <w:noWrap/>
            <w:vAlign w:val="bottom"/>
            <w:hideMark/>
          </w:tcPr>
          <w:p w:rsidR="00080376" w:rsidRPr="00AC6DFB" w:rsidRDefault="00080376"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8051</w:t>
            </w:r>
          </w:p>
        </w:tc>
      </w:tr>
      <w:tr w:rsidR="00080376" w:rsidRPr="00AC6DFB" w:rsidTr="004E4007">
        <w:trPr>
          <w:trHeight w:val="315"/>
        </w:trPr>
        <w:tc>
          <w:tcPr>
            <w:tcW w:w="1920" w:type="dxa"/>
            <w:gridSpan w:val="2"/>
            <w:tcBorders>
              <w:top w:val="nil"/>
              <w:left w:val="single" w:sz="8" w:space="0" w:color="auto"/>
              <w:bottom w:val="nil"/>
              <w:right w:val="single" w:sz="8" w:space="0" w:color="000000"/>
            </w:tcBorders>
            <w:shd w:val="clear" w:color="auto" w:fill="auto"/>
            <w:noWrap/>
            <w:vAlign w:val="center"/>
            <w:hideMark/>
          </w:tcPr>
          <w:p w:rsidR="00080376" w:rsidRPr="00AC6DFB" w:rsidRDefault="00080376" w:rsidP="004E4007">
            <w:pPr>
              <w:spacing w:after="0" w:line="240" w:lineRule="auto"/>
              <w:rPr>
                <w:rFonts w:eastAsia="Times New Roman" w:cs="Times New Roman"/>
                <w:color w:val="000000"/>
                <w:szCs w:val="24"/>
                <w:lang w:eastAsia="da-DK"/>
              </w:rPr>
            </w:pPr>
            <w:r w:rsidRPr="00AC6DFB">
              <w:rPr>
                <w:rFonts w:eastAsia="Times New Roman" w:cs="Times New Roman"/>
                <w:color w:val="000000"/>
                <w:szCs w:val="24"/>
                <w:lang w:eastAsia="da-DK"/>
              </w:rPr>
              <w:t>Egenkapitalandel</w:t>
            </w:r>
          </w:p>
        </w:tc>
        <w:tc>
          <w:tcPr>
            <w:tcW w:w="960" w:type="dxa"/>
            <w:tcBorders>
              <w:top w:val="nil"/>
              <w:left w:val="nil"/>
              <w:bottom w:val="nil"/>
              <w:right w:val="nil"/>
            </w:tcBorders>
            <w:shd w:val="clear" w:color="auto" w:fill="auto"/>
            <w:noWrap/>
            <w:vAlign w:val="bottom"/>
            <w:hideMark/>
          </w:tcPr>
          <w:p w:rsidR="00080376" w:rsidRPr="00AC6DFB" w:rsidRDefault="00DD4B79"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28 %</w:t>
            </w:r>
          </w:p>
        </w:tc>
        <w:tc>
          <w:tcPr>
            <w:tcW w:w="960" w:type="dxa"/>
            <w:tcBorders>
              <w:top w:val="nil"/>
              <w:left w:val="nil"/>
              <w:bottom w:val="nil"/>
              <w:right w:val="nil"/>
            </w:tcBorders>
            <w:shd w:val="clear" w:color="auto" w:fill="auto"/>
            <w:noWrap/>
            <w:vAlign w:val="bottom"/>
            <w:hideMark/>
          </w:tcPr>
          <w:p w:rsidR="00080376" w:rsidRPr="00AC6DFB" w:rsidRDefault="00DD4B79"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48 %</w:t>
            </w:r>
          </w:p>
        </w:tc>
        <w:tc>
          <w:tcPr>
            <w:tcW w:w="960" w:type="dxa"/>
            <w:tcBorders>
              <w:top w:val="nil"/>
              <w:left w:val="nil"/>
              <w:bottom w:val="nil"/>
              <w:right w:val="single" w:sz="8" w:space="0" w:color="auto"/>
            </w:tcBorders>
            <w:shd w:val="clear" w:color="auto" w:fill="auto"/>
            <w:noWrap/>
            <w:vAlign w:val="bottom"/>
            <w:hideMark/>
          </w:tcPr>
          <w:p w:rsidR="00080376" w:rsidRPr="00AC6DFB" w:rsidRDefault="00DD4B79"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67 %</w:t>
            </w:r>
          </w:p>
        </w:tc>
      </w:tr>
      <w:tr w:rsidR="00080376" w:rsidRPr="00AC6DFB" w:rsidTr="004E4007">
        <w:trPr>
          <w:trHeight w:val="330"/>
        </w:trPr>
        <w:tc>
          <w:tcPr>
            <w:tcW w:w="192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080376" w:rsidRPr="00AC6DFB" w:rsidRDefault="00080376" w:rsidP="004E4007">
            <w:pPr>
              <w:spacing w:after="0" w:line="240" w:lineRule="auto"/>
              <w:rPr>
                <w:rFonts w:eastAsia="Times New Roman" w:cs="Times New Roman"/>
                <w:color w:val="000000"/>
                <w:szCs w:val="24"/>
                <w:lang w:eastAsia="da-DK"/>
              </w:rPr>
            </w:pPr>
            <w:r w:rsidRPr="00AC6DFB">
              <w:rPr>
                <w:rFonts w:eastAsia="Times New Roman" w:cs="Times New Roman"/>
                <w:color w:val="000000"/>
                <w:szCs w:val="24"/>
                <w:lang w:eastAsia="da-DK"/>
              </w:rPr>
              <w:t>Gældsandel</w:t>
            </w:r>
          </w:p>
        </w:tc>
        <w:tc>
          <w:tcPr>
            <w:tcW w:w="960" w:type="dxa"/>
            <w:tcBorders>
              <w:top w:val="nil"/>
              <w:left w:val="nil"/>
              <w:bottom w:val="single" w:sz="8" w:space="0" w:color="auto"/>
              <w:right w:val="nil"/>
            </w:tcBorders>
            <w:shd w:val="clear" w:color="auto" w:fill="auto"/>
            <w:noWrap/>
            <w:vAlign w:val="bottom"/>
            <w:hideMark/>
          </w:tcPr>
          <w:p w:rsidR="00080376" w:rsidRPr="00AC6DFB" w:rsidRDefault="00DD4B79"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72 %</w:t>
            </w:r>
          </w:p>
        </w:tc>
        <w:tc>
          <w:tcPr>
            <w:tcW w:w="960" w:type="dxa"/>
            <w:tcBorders>
              <w:top w:val="nil"/>
              <w:left w:val="nil"/>
              <w:bottom w:val="single" w:sz="8" w:space="0" w:color="auto"/>
              <w:right w:val="nil"/>
            </w:tcBorders>
            <w:shd w:val="clear" w:color="auto" w:fill="auto"/>
            <w:noWrap/>
            <w:vAlign w:val="bottom"/>
            <w:hideMark/>
          </w:tcPr>
          <w:p w:rsidR="00080376" w:rsidRPr="00AC6DFB" w:rsidRDefault="00DD4B79"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52 %</w:t>
            </w:r>
          </w:p>
        </w:tc>
        <w:tc>
          <w:tcPr>
            <w:tcW w:w="960" w:type="dxa"/>
            <w:tcBorders>
              <w:top w:val="nil"/>
              <w:left w:val="nil"/>
              <w:bottom w:val="single" w:sz="8" w:space="0" w:color="auto"/>
              <w:right w:val="single" w:sz="8" w:space="0" w:color="auto"/>
            </w:tcBorders>
            <w:shd w:val="clear" w:color="auto" w:fill="auto"/>
            <w:noWrap/>
            <w:vAlign w:val="bottom"/>
            <w:hideMark/>
          </w:tcPr>
          <w:p w:rsidR="00080376" w:rsidRPr="00AC6DFB" w:rsidRDefault="00DD4B79" w:rsidP="004E4007">
            <w:pPr>
              <w:spacing w:after="0" w:line="240" w:lineRule="auto"/>
              <w:jc w:val="right"/>
              <w:rPr>
                <w:rFonts w:eastAsia="Times New Roman" w:cs="Times New Roman"/>
                <w:color w:val="000000"/>
                <w:lang w:eastAsia="da-DK"/>
              </w:rPr>
            </w:pPr>
            <w:r w:rsidRPr="00AC6DFB">
              <w:rPr>
                <w:rFonts w:eastAsia="Times New Roman" w:cs="Times New Roman"/>
                <w:color w:val="000000"/>
                <w:lang w:eastAsia="da-DK"/>
              </w:rPr>
              <w:t>33 %</w:t>
            </w:r>
          </w:p>
        </w:tc>
      </w:tr>
    </w:tbl>
    <w:p w:rsidR="00080376" w:rsidRPr="004E4007" w:rsidRDefault="00080376" w:rsidP="00080376">
      <w:r w:rsidRPr="004E4007">
        <w:br w:type="textWrapping" w:clear="all"/>
      </w:r>
    </w:p>
    <w:p w:rsidR="00080376" w:rsidRDefault="00080376" w:rsidP="00080376">
      <w:r w:rsidRPr="004E4007">
        <w:t>Pandora har en stigende tendens ti</w:t>
      </w:r>
      <w:r w:rsidR="009C4727">
        <w:t>l en voksende egenkapital andel -</w:t>
      </w:r>
      <w:r w:rsidRPr="004E4007">
        <w:t xml:space="preserve"> fra </w:t>
      </w:r>
      <w:r w:rsidR="00DD4B79" w:rsidRPr="004E4007">
        <w:t>28 %</w:t>
      </w:r>
      <w:r w:rsidRPr="004E4007">
        <w:t xml:space="preserve"> i 2009 til </w:t>
      </w:r>
      <w:r w:rsidR="00DD4B79" w:rsidRPr="004E4007">
        <w:t>67 %</w:t>
      </w:r>
      <w:r w:rsidRPr="004E4007">
        <w:t xml:space="preserve"> i 2011, og dermed en faldende gældsandel på nu </w:t>
      </w:r>
      <w:r w:rsidR="00DD4B79" w:rsidRPr="004E4007">
        <w:t>33 %</w:t>
      </w:r>
      <w:r w:rsidRPr="004E4007">
        <w:t>, hvilket er sundt for koncernen</w:t>
      </w:r>
    </w:p>
    <w:p w:rsidR="00A17555" w:rsidRPr="004E4007" w:rsidRDefault="00A17555" w:rsidP="00080376"/>
    <w:p w:rsidR="00080376" w:rsidRPr="004E2A86" w:rsidRDefault="004E2A86" w:rsidP="00A2158A">
      <w:pPr>
        <w:pStyle w:val="Overskrift3"/>
      </w:pPr>
      <w:bookmarkStart w:id="8" w:name="_Toc351290065"/>
      <w:r w:rsidRPr="004E2A86">
        <w:t>5.</w:t>
      </w:r>
      <w:r>
        <w:t>2.2</w:t>
      </w:r>
      <w:r w:rsidRPr="004E2A86">
        <w:t xml:space="preserve"> </w:t>
      </w:r>
      <w:r w:rsidR="00080376" w:rsidRPr="004E2A86">
        <w:t>Ejernes afkastningskrav.</w:t>
      </w:r>
      <w:bookmarkEnd w:id="8"/>
    </w:p>
    <w:p w:rsidR="00080376" w:rsidRPr="004E4007" w:rsidRDefault="00080376" w:rsidP="00080376">
      <w:pPr>
        <w:rPr>
          <w:szCs w:val="24"/>
        </w:rPr>
      </w:pPr>
      <w:r w:rsidRPr="004E4007">
        <w:rPr>
          <w:szCs w:val="24"/>
        </w:rPr>
        <w:t xml:space="preserve">Ejernes afkastningsgrad kan beregnes på baggrund af følgende formel, som også hedder CAPM </w:t>
      </w:r>
      <w:proofErr w:type="spellStart"/>
      <w:r w:rsidRPr="004E4007">
        <w:rPr>
          <w:szCs w:val="24"/>
        </w:rPr>
        <w:t>Capital</w:t>
      </w:r>
      <w:proofErr w:type="spellEnd"/>
      <w:r w:rsidRPr="004E4007">
        <w:rPr>
          <w:szCs w:val="24"/>
        </w:rPr>
        <w:t xml:space="preserve"> Asset </w:t>
      </w:r>
      <w:proofErr w:type="spellStart"/>
      <w:r w:rsidRPr="004E4007">
        <w:rPr>
          <w:szCs w:val="24"/>
        </w:rPr>
        <w:t>Pricing</w:t>
      </w:r>
      <w:proofErr w:type="spellEnd"/>
      <w:r w:rsidRPr="004E4007">
        <w:rPr>
          <w:szCs w:val="24"/>
        </w:rPr>
        <w:t xml:space="preserve"> Model</w:t>
      </w:r>
      <w:r w:rsidRPr="004E4007">
        <w:rPr>
          <w:rStyle w:val="Fodnotehenvisning"/>
          <w:szCs w:val="24"/>
        </w:rPr>
        <w:footnoteReference w:id="3"/>
      </w:r>
    </w:p>
    <w:tbl>
      <w:tblPr>
        <w:tblW w:w="7449" w:type="dxa"/>
        <w:tblInd w:w="55" w:type="dxa"/>
        <w:tblCellMar>
          <w:left w:w="70" w:type="dxa"/>
          <w:right w:w="70" w:type="dxa"/>
        </w:tblCellMar>
        <w:tblLook w:val="04A0"/>
      </w:tblPr>
      <w:tblGrid>
        <w:gridCol w:w="3980"/>
        <w:gridCol w:w="1060"/>
        <w:gridCol w:w="2409"/>
      </w:tblGrid>
      <w:tr w:rsidR="00080376" w:rsidRPr="004E4007" w:rsidTr="004E4007">
        <w:trPr>
          <w:trHeight w:val="315"/>
        </w:trPr>
        <w:tc>
          <w:tcPr>
            <w:tcW w:w="3980" w:type="dxa"/>
            <w:tcBorders>
              <w:top w:val="single" w:sz="4" w:space="0" w:color="auto"/>
              <w:left w:val="single" w:sz="4" w:space="0" w:color="auto"/>
              <w:bottom w:val="nil"/>
              <w:right w:val="nil"/>
            </w:tcBorders>
            <w:shd w:val="clear" w:color="auto" w:fill="auto"/>
            <w:noWrap/>
            <w:vAlign w:val="bottom"/>
            <w:hideMark/>
          </w:tcPr>
          <w:p w:rsidR="00080376" w:rsidRPr="004E4007" w:rsidRDefault="00080376" w:rsidP="004E4007">
            <w:pPr>
              <w:spacing w:after="0" w:line="240" w:lineRule="auto"/>
              <w:rPr>
                <w:rFonts w:eastAsia="Times New Roman" w:cs="Times New Roman"/>
                <w:color w:val="000000"/>
                <w:szCs w:val="24"/>
                <w:lang w:eastAsia="da-DK"/>
              </w:rPr>
            </w:pPr>
            <w:r w:rsidRPr="004E4007">
              <w:rPr>
                <w:b/>
                <w:szCs w:val="24"/>
              </w:rPr>
              <w:t xml:space="preserve">Re = </w:t>
            </w:r>
            <w:proofErr w:type="spellStart"/>
            <w:r w:rsidRPr="004E4007">
              <w:rPr>
                <w:b/>
                <w:szCs w:val="24"/>
              </w:rPr>
              <w:t>rf</w:t>
            </w:r>
            <w:proofErr w:type="spellEnd"/>
            <w:r w:rsidRPr="004E4007">
              <w:rPr>
                <w:b/>
                <w:szCs w:val="24"/>
              </w:rPr>
              <w:t xml:space="preserve"> + β(</w:t>
            </w:r>
            <w:proofErr w:type="spellStart"/>
            <w:r w:rsidRPr="004E4007">
              <w:rPr>
                <w:b/>
                <w:szCs w:val="24"/>
              </w:rPr>
              <w:t>rm</w:t>
            </w:r>
            <w:proofErr w:type="spellEnd"/>
            <w:r w:rsidRPr="004E4007">
              <w:rPr>
                <w:b/>
                <w:szCs w:val="24"/>
              </w:rPr>
              <w:t xml:space="preserve"> – </w:t>
            </w:r>
            <w:proofErr w:type="spellStart"/>
            <w:r w:rsidRPr="004E4007">
              <w:rPr>
                <w:b/>
                <w:szCs w:val="24"/>
              </w:rPr>
              <w:t>rf</w:t>
            </w:r>
            <w:proofErr w:type="spellEnd"/>
            <w:r w:rsidRPr="004E4007">
              <w:rPr>
                <w:b/>
                <w:szCs w:val="24"/>
              </w:rPr>
              <w:t>)</w:t>
            </w:r>
          </w:p>
          <w:p w:rsidR="00080376" w:rsidRPr="004E4007" w:rsidRDefault="00080376" w:rsidP="004E4007">
            <w:pPr>
              <w:spacing w:after="0" w:line="240" w:lineRule="auto"/>
              <w:rPr>
                <w:rFonts w:eastAsia="Times New Roman" w:cs="Times New Roman"/>
                <w:color w:val="000000"/>
                <w:szCs w:val="24"/>
                <w:lang w:eastAsia="da-DK"/>
              </w:rPr>
            </w:pPr>
          </w:p>
          <w:p w:rsidR="00080376" w:rsidRPr="00781A87" w:rsidRDefault="00080376" w:rsidP="004E4007">
            <w:pPr>
              <w:spacing w:after="0" w:line="240" w:lineRule="auto"/>
              <w:rPr>
                <w:rFonts w:eastAsia="Times New Roman" w:cs="Times New Roman"/>
                <w:color w:val="000000"/>
                <w:szCs w:val="24"/>
                <w:lang w:eastAsia="da-DK"/>
              </w:rPr>
            </w:pPr>
            <w:proofErr w:type="gramStart"/>
            <w:r w:rsidRPr="00781A87">
              <w:rPr>
                <w:rFonts w:eastAsia="Times New Roman" w:cs="Times New Roman"/>
                <w:color w:val="000000"/>
                <w:szCs w:val="24"/>
                <w:lang w:eastAsia="da-DK"/>
              </w:rPr>
              <w:t>Risikofrie</w:t>
            </w:r>
            <w:proofErr w:type="gramEnd"/>
            <w:r w:rsidRPr="00781A87">
              <w:rPr>
                <w:rFonts w:eastAsia="Times New Roman" w:cs="Times New Roman"/>
                <w:color w:val="000000"/>
                <w:szCs w:val="24"/>
                <w:lang w:eastAsia="da-DK"/>
              </w:rPr>
              <w:t xml:space="preserve"> rente</w:t>
            </w:r>
          </w:p>
        </w:tc>
        <w:tc>
          <w:tcPr>
            <w:tcW w:w="1060" w:type="dxa"/>
            <w:tcBorders>
              <w:top w:val="single" w:sz="4" w:space="0" w:color="auto"/>
              <w:left w:val="nil"/>
              <w:bottom w:val="nil"/>
              <w:right w:val="nil"/>
            </w:tcBorders>
            <w:shd w:val="clear" w:color="auto" w:fill="auto"/>
            <w:noWrap/>
            <w:vAlign w:val="bottom"/>
            <w:hideMark/>
          </w:tcPr>
          <w:p w:rsidR="00080376" w:rsidRPr="00781A87" w:rsidRDefault="00080376" w:rsidP="004E4007">
            <w:pPr>
              <w:spacing w:after="0" w:line="240" w:lineRule="auto"/>
              <w:jc w:val="center"/>
              <w:rPr>
                <w:rFonts w:eastAsia="Times New Roman" w:cs="Times New Roman"/>
                <w:color w:val="000000"/>
                <w:szCs w:val="24"/>
                <w:lang w:eastAsia="da-DK"/>
              </w:rPr>
            </w:pPr>
            <w:proofErr w:type="spellStart"/>
            <w:r w:rsidRPr="00781A87">
              <w:rPr>
                <w:rFonts w:eastAsia="Times New Roman" w:cs="Times New Roman"/>
                <w:color w:val="000000"/>
                <w:szCs w:val="24"/>
                <w:lang w:eastAsia="da-DK"/>
              </w:rPr>
              <w:t>Rf</w:t>
            </w:r>
            <w:proofErr w:type="spellEnd"/>
          </w:p>
        </w:tc>
        <w:tc>
          <w:tcPr>
            <w:tcW w:w="2409" w:type="dxa"/>
            <w:tcBorders>
              <w:top w:val="single" w:sz="4" w:space="0" w:color="auto"/>
              <w:left w:val="nil"/>
              <w:bottom w:val="nil"/>
              <w:right w:val="single" w:sz="4" w:space="0" w:color="auto"/>
            </w:tcBorders>
            <w:shd w:val="clear" w:color="000000" w:fill="FFFF00"/>
            <w:noWrap/>
            <w:vAlign w:val="bottom"/>
            <w:hideMark/>
          </w:tcPr>
          <w:p w:rsidR="00080376" w:rsidRPr="00781A87" w:rsidRDefault="00080376" w:rsidP="004E4007">
            <w:pPr>
              <w:spacing w:after="0" w:line="240" w:lineRule="auto"/>
              <w:jc w:val="right"/>
              <w:rPr>
                <w:rFonts w:eastAsia="Times New Roman" w:cs="Times New Roman"/>
                <w:color w:val="000000"/>
                <w:szCs w:val="24"/>
                <w:lang w:eastAsia="da-DK"/>
              </w:rPr>
            </w:pPr>
            <w:r w:rsidRPr="00781A87">
              <w:rPr>
                <w:rFonts w:eastAsia="Times New Roman" w:cs="Times New Roman"/>
                <w:color w:val="000000"/>
                <w:szCs w:val="24"/>
                <w:lang w:eastAsia="da-DK"/>
              </w:rPr>
              <w:t>3,</w:t>
            </w:r>
            <w:r w:rsidR="00DD4B79" w:rsidRPr="00781A87">
              <w:rPr>
                <w:rFonts w:eastAsia="Times New Roman" w:cs="Times New Roman"/>
                <w:color w:val="000000"/>
                <w:szCs w:val="24"/>
                <w:lang w:eastAsia="da-DK"/>
              </w:rPr>
              <w:t>00 %</w:t>
            </w:r>
          </w:p>
        </w:tc>
      </w:tr>
      <w:tr w:rsidR="00080376" w:rsidRPr="00781A87" w:rsidTr="004E4007">
        <w:trPr>
          <w:trHeight w:val="315"/>
        </w:trPr>
        <w:tc>
          <w:tcPr>
            <w:tcW w:w="3980" w:type="dxa"/>
            <w:tcBorders>
              <w:top w:val="nil"/>
              <w:left w:val="single" w:sz="4" w:space="0" w:color="auto"/>
              <w:bottom w:val="nil"/>
              <w:right w:val="nil"/>
            </w:tcBorders>
            <w:shd w:val="clear" w:color="auto" w:fill="auto"/>
            <w:noWrap/>
            <w:vAlign w:val="bottom"/>
            <w:hideMark/>
          </w:tcPr>
          <w:p w:rsidR="00080376" w:rsidRPr="00781A87" w:rsidRDefault="00080376" w:rsidP="004E4007">
            <w:pPr>
              <w:spacing w:after="0" w:line="240" w:lineRule="auto"/>
              <w:rPr>
                <w:rFonts w:eastAsia="Times New Roman" w:cs="Times New Roman"/>
                <w:color w:val="000000"/>
                <w:szCs w:val="24"/>
                <w:lang w:eastAsia="da-DK"/>
              </w:rPr>
            </w:pPr>
            <w:r w:rsidRPr="00781A87">
              <w:rPr>
                <w:rFonts w:eastAsia="Times New Roman" w:cs="Times New Roman"/>
                <w:color w:val="000000"/>
                <w:szCs w:val="24"/>
                <w:lang w:eastAsia="da-DK"/>
              </w:rPr>
              <w:t>Beta</w:t>
            </w:r>
            <w:r w:rsidR="004617A6">
              <w:rPr>
                <w:rStyle w:val="Fodnotehenvisning"/>
                <w:rFonts w:eastAsia="Times New Roman" w:cs="Times New Roman"/>
                <w:color w:val="000000"/>
                <w:szCs w:val="24"/>
                <w:lang w:eastAsia="da-DK"/>
              </w:rPr>
              <w:footnoteReference w:id="4"/>
            </w:r>
          </w:p>
        </w:tc>
        <w:tc>
          <w:tcPr>
            <w:tcW w:w="1060" w:type="dxa"/>
            <w:tcBorders>
              <w:top w:val="nil"/>
              <w:left w:val="nil"/>
              <w:bottom w:val="nil"/>
              <w:right w:val="nil"/>
            </w:tcBorders>
            <w:shd w:val="clear" w:color="auto" w:fill="auto"/>
            <w:noWrap/>
            <w:vAlign w:val="bottom"/>
            <w:hideMark/>
          </w:tcPr>
          <w:p w:rsidR="00080376" w:rsidRPr="00781A87" w:rsidRDefault="00080376" w:rsidP="004E4007">
            <w:pPr>
              <w:spacing w:after="0" w:line="240" w:lineRule="auto"/>
              <w:jc w:val="center"/>
              <w:rPr>
                <w:rFonts w:eastAsia="Times New Roman" w:cs="Times New Roman"/>
                <w:color w:val="000000"/>
                <w:szCs w:val="24"/>
                <w:lang w:eastAsia="da-DK"/>
              </w:rPr>
            </w:pPr>
            <w:r w:rsidRPr="004E4007">
              <w:rPr>
                <w:rFonts w:eastAsia="Times New Roman" w:cs="Times New Roman"/>
                <w:color w:val="000000"/>
                <w:szCs w:val="24"/>
                <w:lang w:eastAsia="da-DK"/>
              </w:rPr>
              <w:t>Β</w:t>
            </w:r>
          </w:p>
        </w:tc>
        <w:tc>
          <w:tcPr>
            <w:tcW w:w="2409" w:type="dxa"/>
            <w:tcBorders>
              <w:top w:val="nil"/>
              <w:left w:val="nil"/>
              <w:bottom w:val="nil"/>
              <w:right w:val="single" w:sz="4" w:space="0" w:color="auto"/>
            </w:tcBorders>
            <w:shd w:val="clear" w:color="000000" w:fill="FFFF00"/>
            <w:noWrap/>
            <w:vAlign w:val="bottom"/>
            <w:hideMark/>
          </w:tcPr>
          <w:p w:rsidR="00080376" w:rsidRPr="00781A87" w:rsidRDefault="00080376" w:rsidP="003A2F0C">
            <w:pPr>
              <w:spacing w:after="0" w:line="240" w:lineRule="auto"/>
              <w:jc w:val="right"/>
              <w:rPr>
                <w:rFonts w:eastAsia="Times New Roman" w:cs="Times New Roman"/>
                <w:color w:val="000000"/>
                <w:szCs w:val="24"/>
                <w:lang w:eastAsia="da-DK"/>
              </w:rPr>
            </w:pPr>
            <w:r w:rsidRPr="00781A87">
              <w:rPr>
                <w:rFonts w:eastAsia="Times New Roman" w:cs="Times New Roman"/>
                <w:color w:val="000000"/>
                <w:szCs w:val="24"/>
                <w:lang w:eastAsia="da-DK"/>
              </w:rPr>
              <w:t xml:space="preserve">                                        </w:t>
            </w:r>
            <w:r w:rsidRPr="004E4007">
              <w:rPr>
                <w:rFonts w:eastAsia="Times New Roman" w:cs="Times New Roman"/>
                <w:color w:val="000000"/>
                <w:szCs w:val="24"/>
                <w:lang w:eastAsia="da-DK"/>
              </w:rPr>
              <w:t xml:space="preserve"> </w:t>
            </w:r>
            <w:r w:rsidRPr="00781A87">
              <w:rPr>
                <w:rFonts w:eastAsia="Times New Roman" w:cs="Times New Roman"/>
                <w:color w:val="000000"/>
                <w:szCs w:val="24"/>
                <w:lang w:eastAsia="da-DK"/>
              </w:rPr>
              <w:t xml:space="preserve">1,50 </w:t>
            </w:r>
          </w:p>
        </w:tc>
      </w:tr>
      <w:tr w:rsidR="00080376" w:rsidRPr="00781A87" w:rsidTr="004E4007">
        <w:trPr>
          <w:trHeight w:val="315"/>
        </w:trPr>
        <w:tc>
          <w:tcPr>
            <w:tcW w:w="3980" w:type="dxa"/>
            <w:tcBorders>
              <w:top w:val="nil"/>
              <w:left w:val="single" w:sz="4" w:space="0" w:color="auto"/>
              <w:bottom w:val="nil"/>
              <w:right w:val="nil"/>
            </w:tcBorders>
            <w:shd w:val="clear" w:color="auto" w:fill="auto"/>
            <w:noWrap/>
            <w:vAlign w:val="bottom"/>
            <w:hideMark/>
          </w:tcPr>
          <w:p w:rsidR="00080376" w:rsidRPr="00781A87" w:rsidRDefault="00080376" w:rsidP="004E4007">
            <w:pPr>
              <w:spacing w:after="0" w:line="240" w:lineRule="auto"/>
              <w:rPr>
                <w:rFonts w:eastAsia="Times New Roman" w:cs="Times New Roman"/>
                <w:color w:val="000000"/>
                <w:szCs w:val="24"/>
                <w:lang w:eastAsia="da-DK"/>
              </w:rPr>
            </w:pPr>
            <w:r w:rsidRPr="00781A87">
              <w:rPr>
                <w:rFonts w:eastAsia="Times New Roman" w:cs="Times New Roman"/>
                <w:color w:val="000000"/>
                <w:szCs w:val="24"/>
                <w:lang w:eastAsia="da-DK"/>
              </w:rPr>
              <w:t>Risikopræmie/tillæg</w:t>
            </w:r>
          </w:p>
        </w:tc>
        <w:tc>
          <w:tcPr>
            <w:tcW w:w="1060" w:type="dxa"/>
            <w:tcBorders>
              <w:top w:val="nil"/>
              <w:left w:val="nil"/>
              <w:bottom w:val="nil"/>
              <w:right w:val="nil"/>
            </w:tcBorders>
            <w:shd w:val="clear" w:color="auto" w:fill="auto"/>
            <w:noWrap/>
            <w:vAlign w:val="bottom"/>
            <w:hideMark/>
          </w:tcPr>
          <w:p w:rsidR="00080376" w:rsidRPr="00781A87" w:rsidRDefault="00080376" w:rsidP="004E4007">
            <w:pPr>
              <w:spacing w:after="0" w:line="240" w:lineRule="auto"/>
              <w:jc w:val="center"/>
              <w:rPr>
                <w:rFonts w:eastAsia="Times New Roman" w:cs="Times New Roman"/>
                <w:color w:val="000000"/>
                <w:szCs w:val="24"/>
                <w:lang w:eastAsia="da-DK"/>
              </w:rPr>
            </w:pPr>
            <w:r w:rsidRPr="00781A87">
              <w:rPr>
                <w:rFonts w:eastAsia="Times New Roman" w:cs="Times New Roman"/>
                <w:color w:val="000000"/>
                <w:szCs w:val="24"/>
                <w:lang w:eastAsia="da-DK"/>
              </w:rPr>
              <w:t>(</w:t>
            </w:r>
            <w:proofErr w:type="spellStart"/>
            <w:r w:rsidRPr="00781A87">
              <w:rPr>
                <w:rFonts w:eastAsia="Times New Roman" w:cs="Times New Roman"/>
                <w:color w:val="000000"/>
                <w:szCs w:val="24"/>
                <w:lang w:eastAsia="da-DK"/>
              </w:rPr>
              <w:t>Rm-Rf</w:t>
            </w:r>
            <w:proofErr w:type="spellEnd"/>
            <w:r w:rsidRPr="00781A87">
              <w:rPr>
                <w:rFonts w:eastAsia="Times New Roman" w:cs="Times New Roman"/>
                <w:color w:val="000000"/>
                <w:szCs w:val="24"/>
                <w:lang w:eastAsia="da-DK"/>
              </w:rPr>
              <w:t>)</w:t>
            </w:r>
          </w:p>
        </w:tc>
        <w:tc>
          <w:tcPr>
            <w:tcW w:w="2409" w:type="dxa"/>
            <w:tcBorders>
              <w:top w:val="nil"/>
              <w:left w:val="nil"/>
              <w:bottom w:val="nil"/>
              <w:right w:val="single" w:sz="4" w:space="0" w:color="auto"/>
            </w:tcBorders>
            <w:shd w:val="clear" w:color="000000" w:fill="FFFF00"/>
            <w:noWrap/>
            <w:vAlign w:val="bottom"/>
            <w:hideMark/>
          </w:tcPr>
          <w:p w:rsidR="00080376" w:rsidRPr="00781A87" w:rsidRDefault="00080376" w:rsidP="004E4007">
            <w:pPr>
              <w:spacing w:after="0" w:line="240" w:lineRule="auto"/>
              <w:jc w:val="right"/>
              <w:rPr>
                <w:rFonts w:eastAsia="Times New Roman" w:cs="Times New Roman"/>
                <w:color w:val="000000"/>
                <w:szCs w:val="24"/>
                <w:lang w:eastAsia="da-DK"/>
              </w:rPr>
            </w:pPr>
            <w:r w:rsidRPr="00781A87">
              <w:rPr>
                <w:rFonts w:eastAsia="Times New Roman" w:cs="Times New Roman"/>
                <w:color w:val="000000"/>
                <w:szCs w:val="24"/>
                <w:lang w:eastAsia="da-DK"/>
              </w:rPr>
              <w:t>5,</w:t>
            </w:r>
            <w:r w:rsidR="00DD4B79" w:rsidRPr="00781A87">
              <w:rPr>
                <w:rFonts w:eastAsia="Times New Roman" w:cs="Times New Roman"/>
                <w:color w:val="000000"/>
                <w:szCs w:val="24"/>
                <w:lang w:eastAsia="da-DK"/>
              </w:rPr>
              <w:t>2 %</w:t>
            </w:r>
          </w:p>
        </w:tc>
      </w:tr>
      <w:tr w:rsidR="00080376" w:rsidRPr="00781A87" w:rsidTr="004E4007">
        <w:trPr>
          <w:trHeight w:val="315"/>
        </w:trPr>
        <w:tc>
          <w:tcPr>
            <w:tcW w:w="3980" w:type="dxa"/>
            <w:vMerge w:val="restart"/>
            <w:tcBorders>
              <w:top w:val="single" w:sz="4" w:space="0" w:color="auto"/>
              <w:left w:val="single" w:sz="4" w:space="0" w:color="auto"/>
              <w:bottom w:val="double" w:sz="6" w:space="0" w:color="000000"/>
              <w:right w:val="nil"/>
            </w:tcBorders>
            <w:shd w:val="clear" w:color="auto" w:fill="auto"/>
            <w:vAlign w:val="bottom"/>
            <w:hideMark/>
          </w:tcPr>
          <w:p w:rsidR="00080376" w:rsidRPr="00781A87" w:rsidRDefault="00080376" w:rsidP="004E4007">
            <w:pPr>
              <w:spacing w:after="0" w:line="240" w:lineRule="auto"/>
              <w:rPr>
                <w:rFonts w:eastAsia="Times New Roman" w:cs="Times New Roman"/>
                <w:color w:val="000000"/>
                <w:szCs w:val="24"/>
                <w:lang w:eastAsia="da-DK"/>
              </w:rPr>
            </w:pPr>
            <w:r w:rsidRPr="00781A87">
              <w:rPr>
                <w:rFonts w:eastAsia="Times New Roman" w:cs="Times New Roman"/>
                <w:color w:val="000000"/>
                <w:szCs w:val="24"/>
                <w:lang w:eastAsia="da-DK"/>
              </w:rPr>
              <w:t>Ejernes afkastningskrav (Kg)</w:t>
            </w:r>
            <w:r w:rsidRPr="00781A87">
              <w:rPr>
                <w:rFonts w:eastAsia="Times New Roman" w:cs="Times New Roman"/>
                <w:color w:val="000000"/>
                <w:szCs w:val="24"/>
                <w:lang w:eastAsia="da-DK"/>
              </w:rPr>
              <w:br/>
              <w:t xml:space="preserve">re = </w:t>
            </w:r>
            <w:proofErr w:type="spellStart"/>
            <w:r w:rsidRPr="00781A87">
              <w:rPr>
                <w:rFonts w:eastAsia="Times New Roman" w:cs="Times New Roman"/>
                <w:color w:val="000000"/>
                <w:szCs w:val="24"/>
                <w:lang w:eastAsia="da-DK"/>
              </w:rPr>
              <w:t>rf</w:t>
            </w:r>
            <w:proofErr w:type="spellEnd"/>
            <w:r w:rsidRPr="00781A87">
              <w:rPr>
                <w:rFonts w:eastAsia="Times New Roman" w:cs="Times New Roman"/>
                <w:color w:val="000000"/>
                <w:szCs w:val="24"/>
                <w:lang w:eastAsia="da-DK"/>
              </w:rPr>
              <w:t xml:space="preserve"> + β(</w:t>
            </w:r>
            <w:proofErr w:type="spellStart"/>
            <w:r w:rsidRPr="00781A87">
              <w:rPr>
                <w:rFonts w:eastAsia="Times New Roman" w:cs="Times New Roman"/>
                <w:color w:val="000000"/>
                <w:szCs w:val="24"/>
                <w:lang w:eastAsia="da-DK"/>
              </w:rPr>
              <w:t>rm</w:t>
            </w:r>
            <w:proofErr w:type="spellEnd"/>
            <w:r w:rsidRPr="00781A87">
              <w:rPr>
                <w:rFonts w:eastAsia="Times New Roman" w:cs="Times New Roman"/>
                <w:color w:val="000000"/>
                <w:szCs w:val="24"/>
                <w:lang w:eastAsia="da-DK"/>
              </w:rPr>
              <w:t xml:space="preserve"> – </w:t>
            </w:r>
            <w:proofErr w:type="spellStart"/>
            <w:r w:rsidRPr="00781A87">
              <w:rPr>
                <w:rFonts w:eastAsia="Times New Roman" w:cs="Times New Roman"/>
                <w:color w:val="000000"/>
                <w:szCs w:val="24"/>
                <w:lang w:eastAsia="da-DK"/>
              </w:rPr>
              <w:t>rf</w:t>
            </w:r>
            <w:proofErr w:type="spellEnd"/>
            <w:r w:rsidRPr="00781A87">
              <w:rPr>
                <w:rFonts w:eastAsia="Times New Roman" w:cs="Times New Roman"/>
                <w:color w:val="000000"/>
                <w:szCs w:val="24"/>
                <w:lang w:eastAsia="da-DK"/>
              </w:rPr>
              <w:t>)</w:t>
            </w:r>
          </w:p>
        </w:tc>
        <w:tc>
          <w:tcPr>
            <w:tcW w:w="1060" w:type="dxa"/>
            <w:tcBorders>
              <w:top w:val="single" w:sz="4" w:space="0" w:color="auto"/>
              <w:left w:val="nil"/>
              <w:bottom w:val="nil"/>
              <w:right w:val="nil"/>
            </w:tcBorders>
            <w:shd w:val="clear" w:color="auto" w:fill="auto"/>
            <w:noWrap/>
            <w:vAlign w:val="bottom"/>
            <w:hideMark/>
          </w:tcPr>
          <w:p w:rsidR="00080376" w:rsidRPr="00781A87" w:rsidRDefault="00080376" w:rsidP="004E4007">
            <w:pPr>
              <w:spacing w:after="0" w:line="240" w:lineRule="auto"/>
              <w:jc w:val="center"/>
              <w:rPr>
                <w:rFonts w:eastAsia="Times New Roman" w:cs="Times New Roman"/>
                <w:color w:val="000000"/>
                <w:szCs w:val="24"/>
                <w:lang w:eastAsia="da-DK"/>
              </w:rPr>
            </w:pPr>
            <w:r w:rsidRPr="00781A87">
              <w:rPr>
                <w:rFonts w:eastAsia="Times New Roman" w:cs="Times New Roman"/>
                <w:color w:val="000000"/>
                <w:szCs w:val="24"/>
                <w:lang w:eastAsia="da-DK"/>
              </w:rPr>
              <w:t> </w:t>
            </w:r>
          </w:p>
        </w:tc>
        <w:tc>
          <w:tcPr>
            <w:tcW w:w="2409" w:type="dxa"/>
            <w:tcBorders>
              <w:top w:val="single" w:sz="4" w:space="0" w:color="auto"/>
              <w:left w:val="nil"/>
              <w:bottom w:val="nil"/>
              <w:right w:val="single" w:sz="4" w:space="0" w:color="auto"/>
            </w:tcBorders>
            <w:shd w:val="clear" w:color="auto" w:fill="auto"/>
            <w:noWrap/>
            <w:vAlign w:val="bottom"/>
            <w:hideMark/>
          </w:tcPr>
          <w:p w:rsidR="00080376" w:rsidRPr="00781A87" w:rsidRDefault="00080376" w:rsidP="004E4007">
            <w:pPr>
              <w:spacing w:after="0" w:line="240" w:lineRule="auto"/>
              <w:rPr>
                <w:rFonts w:eastAsia="Times New Roman" w:cs="Times New Roman"/>
                <w:color w:val="000000"/>
                <w:szCs w:val="24"/>
                <w:lang w:eastAsia="da-DK"/>
              </w:rPr>
            </w:pPr>
            <w:r w:rsidRPr="00781A87">
              <w:rPr>
                <w:rFonts w:eastAsia="Times New Roman" w:cs="Times New Roman"/>
                <w:color w:val="000000"/>
                <w:szCs w:val="24"/>
                <w:lang w:eastAsia="da-DK"/>
              </w:rPr>
              <w:t> </w:t>
            </w:r>
          </w:p>
        </w:tc>
      </w:tr>
      <w:tr w:rsidR="00080376" w:rsidRPr="00781A87" w:rsidTr="004E4007">
        <w:trPr>
          <w:trHeight w:val="315"/>
        </w:trPr>
        <w:tc>
          <w:tcPr>
            <w:tcW w:w="3980" w:type="dxa"/>
            <w:vMerge/>
            <w:tcBorders>
              <w:top w:val="single" w:sz="4" w:space="0" w:color="auto"/>
              <w:left w:val="single" w:sz="4" w:space="0" w:color="auto"/>
              <w:bottom w:val="single" w:sz="4" w:space="0" w:color="auto"/>
              <w:right w:val="nil"/>
            </w:tcBorders>
            <w:vAlign w:val="center"/>
            <w:hideMark/>
          </w:tcPr>
          <w:p w:rsidR="00080376" w:rsidRPr="00781A87" w:rsidRDefault="00080376" w:rsidP="004E4007">
            <w:pPr>
              <w:spacing w:after="0" w:line="240" w:lineRule="auto"/>
              <w:rPr>
                <w:rFonts w:eastAsia="Times New Roman" w:cs="Times New Roman"/>
                <w:color w:val="000000"/>
                <w:szCs w:val="24"/>
                <w:lang w:eastAsia="da-DK"/>
              </w:rPr>
            </w:pPr>
          </w:p>
        </w:tc>
        <w:tc>
          <w:tcPr>
            <w:tcW w:w="1060" w:type="dxa"/>
            <w:tcBorders>
              <w:top w:val="nil"/>
              <w:left w:val="nil"/>
              <w:bottom w:val="single" w:sz="4" w:space="0" w:color="auto"/>
              <w:right w:val="nil"/>
            </w:tcBorders>
            <w:shd w:val="clear" w:color="auto" w:fill="auto"/>
            <w:noWrap/>
            <w:vAlign w:val="bottom"/>
            <w:hideMark/>
          </w:tcPr>
          <w:p w:rsidR="00080376" w:rsidRPr="00781A87" w:rsidRDefault="00080376" w:rsidP="004E4007">
            <w:pPr>
              <w:spacing w:after="0" w:line="240" w:lineRule="auto"/>
              <w:jc w:val="center"/>
              <w:rPr>
                <w:rFonts w:eastAsia="Times New Roman" w:cs="Times New Roman"/>
                <w:color w:val="000000"/>
                <w:szCs w:val="24"/>
                <w:lang w:eastAsia="da-DK"/>
              </w:rPr>
            </w:pPr>
            <w:r w:rsidRPr="00781A87">
              <w:rPr>
                <w:rFonts w:eastAsia="Times New Roman" w:cs="Times New Roman"/>
                <w:color w:val="000000"/>
                <w:szCs w:val="24"/>
                <w:lang w:eastAsia="da-DK"/>
              </w:rPr>
              <w:t>Kg</w:t>
            </w:r>
            <w:r w:rsidRPr="004E4007">
              <w:rPr>
                <w:rFonts w:eastAsia="Times New Roman" w:cs="Times New Roman"/>
                <w:color w:val="000000"/>
                <w:szCs w:val="24"/>
                <w:lang w:eastAsia="da-DK"/>
              </w:rPr>
              <w:t xml:space="preserve"> eller Re</w:t>
            </w:r>
          </w:p>
        </w:tc>
        <w:tc>
          <w:tcPr>
            <w:tcW w:w="2409" w:type="dxa"/>
            <w:tcBorders>
              <w:top w:val="nil"/>
              <w:left w:val="nil"/>
              <w:bottom w:val="single" w:sz="4" w:space="0" w:color="auto"/>
              <w:right w:val="single" w:sz="4" w:space="0" w:color="auto"/>
            </w:tcBorders>
            <w:shd w:val="clear" w:color="auto" w:fill="auto"/>
            <w:noWrap/>
            <w:vAlign w:val="bottom"/>
            <w:hideMark/>
          </w:tcPr>
          <w:p w:rsidR="00080376" w:rsidRPr="00781A87" w:rsidRDefault="00080376" w:rsidP="004E4007">
            <w:pPr>
              <w:spacing w:after="0" w:line="240" w:lineRule="auto"/>
              <w:jc w:val="right"/>
              <w:rPr>
                <w:rFonts w:eastAsia="Times New Roman" w:cs="Times New Roman"/>
                <w:color w:val="000000"/>
                <w:szCs w:val="24"/>
                <w:lang w:eastAsia="da-DK"/>
              </w:rPr>
            </w:pPr>
            <w:r w:rsidRPr="00781A87">
              <w:rPr>
                <w:rFonts w:eastAsia="Times New Roman" w:cs="Times New Roman"/>
                <w:color w:val="000000"/>
                <w:szCs w:val="24"/>
                <w:lang w:eastAsia="da-DK"/>
              </w:rPr>
              <w:t>10,</w:t>
            </w:r>
            <w:r w:rsidR="00DD4B79" w:rsidRPr="00781A87">
              <w:rPr>
                <w:rFonts w:eastAsia="Times New Roman" w:cs="Times New Roman"/>
                <w:color w:val="000000"/>
                <w:szCs w:val="24"/>
                <w:lang w:eastAsia="da-DK"/>
              </w:rPr>
              <w:t>80 %</w:t>
            </w:r>
          </w:p>
        </w:tc>
      </w:tr>
    </w:tbl>
    <w:p w:rsidR="00080376" w:rsidRPr="004E4007" w:rsidRDefault="00080376" w:rsidP="00080376">
      <w:pPr>
        <w:rPr>
          <w:szCs w:val="24"/>
        </w:rPr>
      </w:pPr>
    </w:p>
    <w:p w:rsidR="00080376" w:rsidRPr="004E4007" w:rsidRDefault="00080376" w:rsidP="00080376">
      <w:pPr>
        <w:rPr>
          <w:shd w:val="clear" w:color="auto" w:fill="FFFFFF"/>
        </w:rPr>
      </w:pPr>
      <w:r w:rsidRPr="004E4007">
        <w:rPr>
          <w:shd w:val="clear" w:color="auto" w:fill="FFFFFF"/>
        </w:rPr>
        <w:t xml:space="preserve">Den risikofrie rente er den rente, som man kan få i markedet uden at have nogen risiko. Som risikofri rente kan man vælge alt fra indestående på bankernes indlånskonti til kortere statsobligationer med høj </w:t>
      </w:r>
      <w:r w:rsidR="00DD4B79" w:rsidRPr="004E4007">
        <w:rPr>
          <w:shd w:val="clear" w:color="auto" w:fill="FFFFFF"/>
        </w:rPr>
        <w:t>kredit rating</w:t>
      </w:r>
      <w:r w:rsidRPr="004E4007">
        <w:rPr>
          <w:shd w:val="clear" w:color="auto" w:fill="FFFFFF"/>
        </w:rPr>
        <w:t>.</w:t>
      </w:r>
      <w:r w:rsidRPr="004E4007">
        <w:rPr>
          <w:rStyle w:val="Fodnotehenvisning"/>
          <w:shd w:val="clear" w:color="auto" w:fill="FFFFFF"/>
        </w:rPr>
        <w:footnoteReference w:id="5"/>
      </w:r>
    </w:p>
    <w:p w:rsidR="004E2A86" w:rsidRDefault="004E2A86" w:rsidP="00080376">
      <w:pPr>
        <w:rPr>
          <w:szCs w:val="24"/>
          <w:shd w:val="clear" w:color="auto" w:fill="FFFFFF"/>
        </w:rPr>
      </w:pPr>
    </w:p>
    <w:p w:rsidR="004E2A86" w:rsidRPr="004E2A86" w:rsidRDefault="004E2A86" w:rsidP="00A2158A">
      <w:pPr>
        <w:pStyle w:val="Overskrift3"/>
        <w:rPr>
          <w:shd w:val="clear" w:color="auto" w:fill="FFFFFF"/>
        </w:rPr>
      </w:pPr>
      <w:bookmarkStart w:id="9" w:name="_Toc351290066"/>
      <w:r w:rsidRPr="004E2A86">
        <w:rPr>
          <w:shd w:val="clear" w:color="auto" w:fill="FFFFFF"/>
        </w:rPr>
        <w:lastRenderedPageBreak/>
        <w:t>5.2.3 Beta-værdien</w:t>
      </w:r>
      <w:bookmarkEnd w:id="9"/>
    </w:p>
    <w:p w:rsidR="00080376" w:rsidRPr="004E4007" w:rsidRDefault="00080376" w:rsidP="00080376">
      <w:pPr>
        <w:rPr>
          <w:szCs w:val="24"/>
          <w:shd w:val="clear" w:color="auto" w:fill="FFFFFF"/>
        </w:rPr>
      </w:pPr>
      <w:r w:rsidRPr="004E4007">
        <w:rPr>
          <w:szCs w:val="24"/>
          <w:shd w:val="clear" w:color="auto" w:fill="FFFFFF"/>
        </w:rPr>
        <w:t>Beta er et mål for markeds</w:t>
      </w:r>
      <w:r w:rsidR="00DD4B79" w:rsidRPr="004E4007">
        <w:rPr>
          <w:szCs w:val="24"/>
          <w:shd w:val="clear" w:color="auto" w:fill="FFFFFF"/>
        </w:rPr>
        <w:t>risikoen</w:t>
      </w:r>
      <w:r w:rsidR="00A67A38">
        <w:rPr>
          <w:szCs w:val="24"/>
          <w:shd w:val="clear" w:color="auto" w:fill="FFFFFF"/>
        </w:rPr>
        <w:t xml:space="preserve"> (</w:t>
      </w:r>
      <w:proofErr w:type="spellStart"/>
      <w:r w:rsidR="00A67A38">
        <w:rPr>
          <w:szCs w:val="24"/>
          <w:shd w:val="clear" w:color="auto" w:fill="FFFFFF"/>
        </w:rPr>
        <w:t>Benchmark</w:t>
      </w:r>
      <w:proofErr w:type="spellEnd"/>
      <w:r w:rsidR="00A67A38">
        <w:rPr>
          <w:szCs w:val="24"/>
          <w:shd w:val="clear" w:color="auto" w:fill="FFFFFF"/>
        </w:rPr>
        <w:t>)</w:t>
      </w:r>
      <w:r w:rsidRPr="004E4007">
        <w:rPr>
          <w:szCs w:val="24"/>
          <w:shd w:val="clear" w:color="auto" w:fill="FFFFFF"/>
        </w:rPr>
        <w:t>. Er beta-værdien over 1, betyder det, at investeringen svinger</w:t>
      </w:r>
      <w:r w:rsidRPr="004E4007">
        <w:rPr>
          <w:rStyle w:val="apple-converted-space"/>
          <w:color w:val="3A3A3A"/>
          <w:szCs w:val="24"/>
          <w:shd w:val="clear" w:color="auto" w:fill="FFFFFF"/>
        </w:rPr>
        <w:t> </w:t>
      </w:r>
      <w:r w:rsidRPr="004E4007">
        <w:rPr>
          <w:rStyle w:val="Fremhv"/>
          <w:color w:val="3A3A3A"/>
          <w:szCs w:val="24"/>
          <w:shd w:val="clear" w:color="auto" w:fill="FFFFFF"/>
        </w:rPr>
        <w:t>mere</w:t>
      </w:r>
      <w:r w:rsidRPr="004E4007">
        <w:rPr>
          <w:rStyle w:val="apple-converted-space"/>
          <w:color w:val="3A3A3A"/>
          <w:szCs w:val="24"/>
          <w:shd w:val="clear" w:color="auto" w:fill="FFFFFF"/>
        </w:rPr>
        <w:t> </w:t>
      </w:r>
      <w:r w:rsidRPr="004E4007">
        <w:rPr>
          <w:szCs w:val="24"/>
          <w:shd w:val="clear" w:color="auto" w:fill="FFFFFF"/>
        </w:rPr>
        <w:t>end markedet generelt. Og omvendt reagerer den mindre, hvis værdien er under 1.</w:t>
      </w:r>
      <w:r w:rsidRPr="004E4007">
        <w:rPr>
          <w:rStyle w:val="Fodnotehenvisning"/>
          <w:szCs w:val="24"/>
          <w:shd w:val="clear" w:color="auto" w:fill="FFFFFF"/>
        </w:rPr>
        <w:footnoteReference w:id="6"/>
      </w:r>
      <w:r w:rsidR="00961E39">
        <w:rPr>
          <w:szCs w:val="24"/>
          <w:shd w:val="clear" w:color="auto" w:fill="FFFFFF"/>
        </w:rPr>
        <w:t xml:space="preserve">  Beta-værdien for Pandora er ifølge proinvestor.com opgjort til 1,50</w:t>
      </w:r>
      <w:r w:rsidR="004B0F02">
        <w:rPr>
          <w:szCs w:val="24"/>
          <w:shd w:val="clear" w:color="auto" w:fill="FFFFFF"/>
        </w:rPr>
        <w:t xml:space="preserve">. </w:t>
      </w:r>
      <w:r w:rsidR="00961E39">
        <w:rPr>
          <w:szCs w:val="24"/>
          <w:shd w:val="clear" w:color="auto" w:fill="FFFFFF"/>
        </w:rPr>
        <w:t xml:space="preserve">Den systematiske risiko er dermed større </w:t>
      </w:r>
      <w:r w:rsidR="004B0F02">
        <w:rPr>
          <w:szCs w:val="24"/>
          <w:shd w:val="clear" w:color="auto" w:fill="FFFFFF"/>
        </w:rPr>
        <w:t>for Pandora end for markedsporteføljen.</w:t>
      </w:r>
      <w:r w:rsidR="00961E39">
        <w:rPr>
          <w:szCs w:val="24"/>
          <w:shd w:val="clear" w:color="auto" w:fill="FFFFFF"/>
        </w:rPr>
        <w:t xml:space="preserve"> </w:t>
      </w:r>
    </w:p>
    <w:p w:rsidR="00080376" w:rsidRPr="004E4007" w:rsidRDefault="00080376" w:rsidP="00080376">
      <w:pPr>
        <w:pBdr>
          <w:top w:val="single" w:sz="4" w:space="1" w:color="auto"/>
          <w:left w:val="single" w:sz="4" w:space="4" w:color="auto"/>
          <w:bottom w:val="single" w:sz="4" w:space="1" w:color="auto"/>
          <w:right w:val="single" w:sz="4" w:space="4" w:color="auto"/>
        </w:pBdr>
        <w:rPr>
          <w:szCs w:val="24"/>
        </w:rPr>
      </w:pPr>
      <w:r w:rsidRPr="004E4007">
        <w:rPr>
          <w:szCs w:val="24"/>
        </w:rPr>
        <w:t xml:space="preserve">ß = </w:t>
      </w:r>
      <w:proofErr w:type="gramStart"/>
      <w:r w:rsidRPr="004E4007">
        <w:rPr>
          <w:szCs w:val="24"/>
        </w:rPr>
        <w:t>0  Risikofri</w:t>
      </w:r>
      <w:proofErr w:type="gramEnd"/>
      <w:r w:rsidRPr="004E4007">
        <w:rPr>
          <w:szCs w:val="24"/>
        </w:rPr>
        <w:t xml:space="preserve"> investering</w:t>
      </w:r>
    </w:p>
    <w:p w:rsidR="00080376" w:rsidRPr="004E4007" w:rsidRDefault="00080376" w:rsidP="00080376">
      <w:pPr>
        <w:pBdr>
          <w:top w:val="single" w:sz="4" w:space="1" w:color="auto"/>
          <w:left w:val="single" w:sz="4" w:space="4" w:color="auto"/>
          <w:bottom w:val="single" w:sz="4" w:space="1" w:color="auto"/>
          <w:right w:val="single" w:sz="4" w:space="4" w:color="auto"/>
        </w:pBdr>
        <w:rPr>
          <w:szCs w:val="24"/>
        </w:rPr>
      </w:pPr>
      <w:r w:rsidRPr="004E4007">
        <w:rPr>
          <w:szCs w:val="24"/>
        </w:rPr>
        <w:t xml:space="preserve">ß &lt; </w:t>
      </w:r>
      <w:proofErr w:type="gramStart"/>
      <w:r w:rsidRPr="004E4007">
        <w:rPr>
          <w:szCs w:val="24"/>
        </w:rPr>
        <w:t>1  Investering</w:t>
      </w:r>
      <w:proofErr w:type="gramEnd"/>
      <w:r w:rsidRPr="004E4007">
        <w:rPr>
          <w:szCs w:val="24"/>
        </w:rPr>
        <w:t xml:space="preserve"> med mindre risiko end markedsporteføljen</w:t>
      </w:r>
    </w:p>
    <w:p w:rsidR="00080376" w:rsidRPr="004E4007" w:rsidRDefault="00080376" w:rsidP="00080376">
      <w:pPr>
        <w:pBdr>
          <w:top w:val="single" w:sz="4" w:space="1" w:color="auto"/>
          <w:left w:val="single" w:sz="4" w:space="4" w:color="auto"/>
          <w:bottom w:val="single" w:sz="4" w:space="1" w:color="auto"/>
          <w:right w:val="single" w:sz="4" w:space="4" w:color="auto"/>
        </w:pBdr>
        <w:rPr>
          <w:szCs w:val="24"/>
        </w:rPr>
      </w:pPr>
      <w:r w:rsidRPr="004E4007">
        <w:rPr>
          <w:szCs w:val="24"/>
        </w:rPr>
        <w:t xml:space="preserve">ß = </w:t>
      </w:r>
      <w:proofErr w:type="gramStart"/>
      <w:r w:rsidRPr="004E4007">
        <w:rPr>
          <w:szCs w:val="24"/>
        </w:rPr>
        <w:t>1  Risiko</w:t>
      </w:r>
      <w:proofErr w:type="gramEnd"/>
      <w:r w:rsidRPr="004E4007">
        <w:rPr>
          <w:szCs w:val="24"/>
        </w:rPr>
        <w:t xml:space="preserve"> som markedsporteføljen</w:t>
      </w:r>
    </w:p>
    <w:p w:rsidR="00080376" w:rsidRPr="004E4007" w:rsidRDefault="00080376" w:rsidP="00080376">
      <w:pPr>
        <w:pBdr>
          <w:top w:val="single" w:sz="4" w:space="1" w:color="auto"/>
          <w:left w:val="single" w:sz="4" w:space="4" w:color="auto"/>
          <w:bottom w:val="single" w:sz="4" w:space="1" w:color="auto"/>
          <w:right w:val="single" w:sz="4" w:space="4" w:color="auto"/>
        </w:pBdr>
        <w:rPr>
          <w:szCs w:val="24"/>
        </w:rPr>
      </w:pPr>
      <w:r w:rsidRPr="004E4007">
        <w:rPr>
          <w:szCs w:val="24"/>
        </w:rPr>
        <w:t xml:space="preserve">ß &gt; </w:t>
      </w:r>
      <w:proofErr w:type="gramStart"/>
      <w:r w:rsidRPr="004E4007">
        <w:rPr>
          <w:szCs w:val="24"/>
        </w:rPr>
        <w:t>1  Investering</w:t>
      </w:r>
      <w:proofErr w:type="gramEnd"/>
      <w:r w:rsidRPr="004E4007">
        <w:rPr>
          <w:szCs w:val="24"/>
        </w:rPr>
        <w:t xml:space="preserve"> med større risiko end markedsporteføljen</w:t>
      </w:r>
    </w:p>
    <w:p w:rsidR="00080376" w:rsidRPr="004E4007" w:rsidRDefault="00080376" w:rsidP="00080376">
      <w:pPr>
        <w:rPr>
          <w:szCs w:val="24"/>
        </w:rPr>
      </w:pPr>
      <w:r w:rsidRPr="004E4007">
        <w:rPr>
          <w:szCs w:val="24"/>
        </w:rPr>
        <w:t>Kilde: Elling m.fl. 2005, side 53</w:t>
      </w:r>
    </w:p>
    <w:p w:rsidR="00080376" w:rsidRDefault="00080376" w:rsidP="00080376">
      <w:pPr>
        <w:rPr>
          <w:szCs w:val="24"/>
        </w:rPr>
      </w:pPr>
      <w:r w:rsidRPr="004E4007">
        <w:rPr>
          <w:szCs w:val="24"/>
        </w:rPr>
        <w:t>Markedets risikopræmie er forskellen mellem det forventede afkast på markedet og den risikofrie rente. En korrekt estimering af risikopræmien er omfattende, og den er derfor fastsat på baggrund af national bankens historiske præmie niveau på 5,</w:t>
      </w:r>
      <w:r w:rsidR="00DD4B79" w:rsidRPr="004E4007">
        <w:rPr>
          <w:szCs w:val="24"/>
        </w:rPr>
        <w:t>2 %</w:t>
      </w:r>
      <w:r w:rsidRPr="004E4007">
        <w:rPr>
          <w:rStyle w:val="Fodnotehenvisning"/>
          <w:szCs w:val="24"/>
        </w:rPr>
        <w:footnoteReference w:id="7"/>
      </w:r>
    </w:p>
    <w:p w:rsidR="00A17555" w:rsidRPr="004E4007" w:rsidRDefault="00A17555" w:rsidP="00080376">
      <w:pPr>
        <w:rPr>
          <w:szCs w:val="24"/>
        </w:rPr>
      </w:pPr>
    </w:p>
    <w:p w:rsidR="00080376" w:rsidRPr="004E2A86" w:rsidRDefault="004E2A86" w:rsidP="00A2158A">
      <w:pPr>
        <w:pStyle w:val="Overskrift3"/>
      </w:pPr>
      <w:bookmarkStart w:id="10" w:name="_Toc351290067"/>
      <w:r w:rsidRPr="004E2A86">
        <w:t xml:space="preserve">5.2.4 </w:t>
      </w:r>
      <w:r w:rsidR="00080376" w:rsidRPr="004E2A86">
        <w:t>Fremmedkapitalens afkastningskrav.</w:t>
      </w:r>
      <w:bookmarkEnd w:id="10"/>
    </w:p>
    <w:p w:rsidR="00080376" w:rsidRPr="004E4007" w:rsidRDefault="00080376" w:rsidP="00080376">
      <w:pPr>
        <w:rPr>
          <w:szCs w:val="24"/>
        </w:rPr>
      </w:pPr>
      <w:r w:rsidRPr="004E4007">
        <w:rPr>
          <w:szCs w:val="24"/>
        </w:rPr>
        <w:t>Fremmedkapitalens afkastningskrav kan beregnes ved nedenstående formel.</w:t>
      </w:r>
    </w:p>
    <w:tbl>
      <w:tblPr>
        <w:tblW w:w="7360" w:type="dxa"/>
        <w:tblInd w:w="55" w:type="dxa"/>
        <w:tblCellMar>
          <w:left w:w="70" w:type="dxa"/>
          <w:right w:w="70" w:type="dxa"/>
        </w:tblCellMar>
        <w:tblLook w:val="04A0"/>
      </w:tblPr>
      <w:tblGrid>
        <w:gridCol w:w="3980"/>
        <w:gridCol w:w="1060"/>
        <w:gridCol w:w="2320"/>
      </w:tblGrid>
      <w:tr w:rsidR="00080376" w:rsidRPr="00EF7D7F" w:rsidTr="004E4007">
        <w:trPr>
          <w:trHeight w:val="300"/>
        </w:trPr>
        <w:tc>
          <w:tcPr>
            <w:tcW w:w="3980" w:type="dxa"/>
            <w:tcBorders>
              <w:top w:val="single" w:sz="4" w:space="0" w:color="auto"/>
              <w:left w:val="single" w:sz="4" w:space="0" w:color="auto"/>
              <w:bottom w:val="nil"/>
              <w:right w:val="nil"/>
            </w:tcBorders>
            <w:shd w:val="clear" w:color="auto" w:fill="auto"/>
            <w:vAlign w:val="bottom"/>
            <w:hideMark/>
          </w:tcPr>
          <w:p w:rsidR="00080376" w:rsidRPr="004E4007" w:rsidRDefault="00080376" w:rsidP="004E4007">
            <w:pPr>
              <w:spacing w:after="0" w:line="240" w:lineRule="auto"/>
              <w:rPr>
                <w:rFonts w:eastAsia="Times New Roman" w:cs="Times New Roman"/>
                <w:color w:val="000000"/>
                <w:lang w:eastAsia="da-DK"/>
              </w:rPr>
            </w:pPr>
            <w:proofErr w:type="spellStart"/>
            <w:r w:rsidRPr="00EF7D7F">
              <w:rPr>
                <w:rFonts w:eastAsia="Times New Roman" w:cs="Times New Roman"/>
                <w:color w:val="000000"/>
                <w:lang w:eastAsia="da-DK"/>
              </w:rPr>
              <w:t>Rg</w:t>
            </w:r>
            <w:proofErr w:type="spellEnd"/>
            <w:r w:rsidRPr="00EF7D7F">
              <w:rPr>
                <w:rFonts w:eastAsia="Times New Roman" w:cs="Times New Roman"/>
                <w:color w:val="000000"/>
                <w:lang w:eastAsia="da-DK"/>
              </w:rPr>
              <w:t>=(</w:t>
            </w:r>
            <w:proofErr w:type="spellStart"/>
            <w:r w:rsidRPr="00EF7D7F">
              <w:rPr>
                <w:rFonts w:eastAsia="Times New Roman" w:cs="Times New Roman"/>
                <w:color w:val="000000"/>
                <w:lang w:eastAsia="da-DK"/>
              </w:rPr>
              <w:t>Rf+Rs</w:t>
            </w:r>
            <w:proofErr w:type="spellEnd"/>
            <w:r w:rsidRPr="00EF7D7F">
              <w:rPr>
                <w:rFonts w:eastAsia="Times New Roman" w:cs="Times New Roman"/>
                <w:color w:val="000000"/>
                <w:lang w:eastAsia="da-DK"/>
              </w:rPr>
              <w:t>)(1-t)</w:t>
            </w:r>
          </w:p>
          <w:p w:rsidR="00080376" w:rsidRPr="004E4007" w:rsidRDefault="00080376" w:rsidP="004E4007">
            <w:pPr>
              <w:spacing w:after="0" w:line="240" w:lineRule="auto"/>
              <w:rPr>
                <w:rFonts w:eastAsia="Times New Roman" w:cs="Times New Roman"/>
                <w:color w:val="000000"/>
                <w:lang w:eastAsia="da-DK"/>
              </w:rPr>
            </w:pPr>
          </w:p>
          <w:p w:rsidR="00080376" w:rsidRPr="00EF7D7F" w:rsidRDefault="00080376" w:rsidP="004E4007">
            <w:pPr>
              <w:spacing w:after="0" w:line="240" w:lineRule="auto"/>
              <w:rPr>
                <w:rFonts w:eastAsia="Times New Roman" w:cs="Times New Roman"/>
                <w:color w:val="000000"/>
                <w:lang w:eastAsia="da-DK"/>
              </w:rPr>
            </w:pPr>
            <w:r w:rsidRPr="00EF7D7F">
              <w:rPr>
                <w:rFonts w:eastAsia="Times New Roman" w:cs="Times New Roman"/>
                <w:color w:val="000000"/>
                <w:lang w:eastAsia="da-DK"/>
              </w:rPr>
              <w:t>Selskabsspecifikt risikotillæg</w:t>
            </w:r>
          </w:p>
        </w:tc>
        <w:tc>
          <w:tcPr>
            <w:tcW w:w="1060" w:type="dxa"/>
            <w:tcBorders>
              <w:top w:val="single" w:sz="4" w:space="0" w:color="auto"/>
              <w:left w:val="nil"/>
              <w:bottom w:val="nil"/>
              <w:right w:val="nil"/>
            </w:tcBorders>
            <w:shd w:val="clear" w:color="auto" w:fill="auto"/>
            <w:noWrap/>
            <w:vAlign w:val="bottom"/>
            <w:hideMark/>
          </w:tcPr>
          <w:p w:rsidR="00080376" w:rsidRPr="00EF7D7F" w:rsidRDefault="00080376" w:rsidP="004E4007">
            <w:pPr>
              <w:spacing w:after="0" w:line="240" w:lineRule="auto"/>
              <w:rPr>
                <w:rFonts w:eastAsia="Times New Roman" w:cs="Times New Roman"/>
                <w:color w:val="000000"/>
                <w:lang w:eastAsia="da-DK"/>
              </w:rPr>
            </w:pPr>
            <w:proofErr w:type="spellStart"/>
            <w:r w:rsidRPr="00EF7D7F">
              <w:rPr>
                <w:rFonts w:eastAsia="Times New Roman" w:cs="Times New Roman"/>
                <w:color w:val="000000"/>
                <w:lang w:eastAsia="da-DK"/>
              </w:rPr>
              <w:t>Rs</w:t>
            </w:r>
            <w:proofErr w:type="spellEnd"/>
          </w:p>
        </w:tc>
        <w:tc>
          <w:tcPr>
            <w:tcW w:w="2320" w:type="dxa"/>
            <w:tcBorders>
              <w:top w:val="single" w:sz="4" w:space="0" w:color="auto"/>
              <w:left w:val="nil"/>
              <w:bottom w:val="nil"/>
              <w:right w:val="single" w:sz="4" w:space="0" w:color="auto"/>
            </w:tcBorders>
            <w:shd w:val="clear" w:color="000000" w:fill="FFFF00"/>
            <w:noWrap/>
            <w:vAlign w:val="bottom"/>
            <w:hideMark/>
          </w:tcPr>
          <w:p w:rsidR="00080376" w:rsidRPr="00EF7D7F" w:rsidRDefault="00080376" w:rsidP="004E4007">
            <w:pPr>
              <w:spacing w:after="0" w:line="240" w:lineRule="auto"/>
              <w:jc w:val="right"/>
              <w:rPr>
                <w:rFonts w:eastAsia="Times New Roman" w:cs="Times New Roman"/>
                <w:color w:val="000000"/>
                <w:lang w:eastAsia="da-DK"/>
              </w:rPr>
            </w:pPr>
            <w:r w:rsidRPr="00EF7D7F">
              <w:rPr>
                <w:rFonts w:eastAsia="Times New Roman" w:cs="Times New Roman"/>
                <w:color w:val="000000"/>
                <w:lang w:eastAsia="da-DK"/>
              </w:rPr>
              <w:t>0,</w:t>
            </w:r>
            <w:r w:rsidR="00DD4B79" w:rsidRPr="00EF7D7F">
              <w:rPr>
                <w:rFonts w:eastAsia="Times New Roman" w:cs="Times New Roman"/>
                <w:color w:val="000000"/>
                <w:lang w:eastAsia="da-DK"/>
              </w:rPr>
              <w:t>63 %</w:t>
            </w:r>
          </w:p>
        </w:tc>
      </w:tr>
      <w:tr w:rsidR="00080376" w:rsidRPr="00EF7D7F" w:rsidTr="004E4007">
        <w:trPr>
          <w:trHeight w:val="300"/>
        </w:trPr>
        <w:tc>
          <w:tcPr>
            <w:tcW w:w="3980" w:type="dxa"/>
            <w:tcBorders>
              <w:top w:val="nil"/>
              <w:left w:val="single" w:sz="4" w:space="0" w:color="auto"/>
              <w:bottom w:val="nil"/>
              <w:right w:val="nil"/>
            </w:tcBorders>
            <w:shd w:val="clear" w:color="auto" w:fill="auto"/>
            <w:noWrap/>
            <w:vAlign w:val="bottom"/>
            <w:hideMark/>
          </w:tcPr>
          <w:p w:rsidR="00080376" w:rsidRPr="00EF7D7F" w:rsidRDefault="00080376" w:rsidP="004E4007">
            <w:pPr>
              <w:spacing w:after="0" w:line="240" w:lineRule="auto"/>
              <w:rPr>
                <w:rFonts w:eastAsia="Times New Roman" w:cs="Times New Roman"/>
                <w:color w:val="000000"/>
                <w:lang w:eastAsia="da-DK"/>
              </w:rPr>
            </w:pPr>
            <w:r w:rsidRPr="00EF7D7F">
              <w:rPr>
                <w:rFonts w:eastAsia="Times New Roman" w:cs="Times New Roman"/>
                <w:color w:val="000000"/>
                <w:lang w:eastAsia="da-DK"/>
              </w:rPr>
              <w:t>Selskabs skatteprocent</w:t>
            </w:r>
          </w:p>
        </w:tc>
        <w:tc>
          <w:tcPr>
            <w:tcW w:w="1060" w:type="dxa"/>
            <w:tcBorders>
              <w:top w:val="nil"/>
              <w:left w:val="nil"/>
              <w:bottom w:val="nil"/>
              <w:right w:val="nil"/>
            </w:tcBorders>
            <w:shd w:val="clear" w:color="auto" w:fill="auto"/>
            <w:noWrap/>
            <w:vAlign w:val="bottom"/>
            <w:hideMark/>
          </w:tcPr>
          <w:p w:rsidR="00080376" w:rsidRPr="00EF7D7F" w:rsidRDefault="00080376" w:rsidP="004E4007">
            <w:pPr>
              <w:spacing w:after="0" w:line="240" w:lineRule="auto"/>
              <w:rPr>
                <w:rFonts w:eastAsia="Times New Roman" w:cs="Times New Roman"/>
                <w:color w:val="000000"/>
                <w:lang w:eastAsia="da-DK"/>
              </w:rPr>
            </w:pPr>
            <w:r w:rsidRPr="004E4007">
              <w:rPr>
                <w:rFonts w:eastAsia="Times New Roman" w:cs="Times New Roman"/>
                <w:color w:val="000000"/>
                <w:lang w:eastAsia="da-DK"/>
              </w:rPr>
              <w:t>T</w:t>
            </w:r>
          </w:p>
        </w:tc>
        <w:tc>
          <w:tcPr>
            <w:tcW w:w="2320" w:type="dxa"/>
            <w:tcBorders>
              <w:top w:val="nil"/>
              <w:left w:val="nil"/>
              <w:bottom w:val="nil"/>
              <w:right w:val="single" w:sz="4" w:space="0" w:color="auto"/>
            </w:tcBorders>
            <w:shd w:val="clear" w:color="000000" w:fill="FFFF00"/>
            <w:noWrap/>
            <w:vAlign w:val="bottom"/>
            <w:hideMark/>
          </w:tcPr>
          <w:p w:rsidR="00080376" w:rsidRPr="00EF7D7F" w:rsidRDefault="00080376" w:rsidP="004E4007">
            <w:pPr>
              <w:spacing w:after="0" w:line="240" w:lineRule="auto"/>
              <w:jc w:val="right"/>
              <w:rPr>
                <w:rFonts w:eastAsia="Times New Roman" w:cs="Times New Roman"/>
                <w:color w:val="000000"/>
                <w:lang w:eastAsia="da-DK"/>
              </w:rPr>
            </w:pPr>
            <w:r w:rsidRPr="00EF7D7F">
              <w:rPr>
                <w:rFonts w:eastAsia="Times New Roman" w:cs="Times New Roman"/>
                <w:color w:val="000000"/>
                <w:lang w:eastAsia="da-DK"/>
              </w:rPr>
              <w:t>25,</w:t>
            </w:r>
            <w:r w:rsidR="00DD4B79" w:rsidRPr="00EF7D7F">
              <w:rPr>
                <w:rFonts w:eastAsia="Times New Roman" w:cs="Times New Roman"/>
                <w:color w:val="000000"/>
                <w:lang w:eastAsia="da-DK"/>
              </w:rPr>
              <w:t>00 %</w:t>
            </w:r>
          </w:p>
        </w:tc>
      </w:tr>
      <w:tr w:rsidR="00080376" w:rsidRPr="00EF7D7F" w:rsidTr="004E4007">
        <w:trPr>
          <w:trHeight w:val="300"/>
        </w:trPr>
        <w:tc>
          <w:tcPr>
            <w:tcW w:w="3980" w:type="dxa"/>
            <w:vMerge w:val="restart"/>
            <w:tcBorders>
              <w:top w:val="single" w:sz="4" w:space="0" w:color="auto"/>
              <w:left w:val="single" w:sz="4" w:space="0" w:color="auto"/>
              <w:bottom w:val="double" w:sz="6" w:space="0" w:color="000000"/>
              <w:right w:val="nil"/>
            </w:tcBorders>
            <w:shd w:val="clear" w:color="auto" w:fill="auto"/>
            <w:vAlign w:val="bottom"/>
            <w:hideMark/>
          </w:tcPr>
          <w:p w:rsidR="00080376" w:rsidRPr="00EF7D7F" w:rsidRDefault="00080376" w:rsidP="004E4007">
            <w:pPr>
              <w:spacing w:after="0" w:line="240" w:lineRule="auto"/>
              <w:rPr>
                <w:rFonts w:eastAsia="Times New Roman" w:cs="Times New Roman"/>
                <w:color w:val="000000"/>
                <w:lang w:eastAsia="da-DK"/>
              </w:rPr>
            </w:pPr>
            <w:r w:rsidRPr="00EF7D7F">
              <w:rPr>
                <w:rFonts w:eastAsia="Times New Roman" w:cs="Times New Roman"/>
                <w:color w:val="000000"/>
                <w:lang w:eastAsia="da-DK"/>
              </w:rPr>
              <w:t>Fremmedkapitalens afkastningskrav</w:t>
            </w:r>
            <w:r w:rsidRPr="00EF7D7F">
              <w:rPr>
                <w:rFonts w:eastAsia="Times New Roman" w:cs="Times New Roman"/>
                <w:color w:val="000000"/>
                <w:lang w:eastAsia="da-DK"/>
              </w:rPr>
              <w:br/>
            </w:r>
            <w:proofErr w:type="spellStart"/>
            <w:r w:rsidRPr="00EF7D7F">
              <w:rPr>
                <w:rFonts w:eastAsia="Times New Roman" w:cs="Times New Roman"/>
                <w:color w:val="000000"/>
                <w:lang w:eastAsia="da-DK"/>
              </w:rPr>
              <w:t>Rg</w:t>
            </w:r>
            <w:proofErr w:type="spellEnd"/>
            <w:r w:rsidRPr="00EF7D7F">
              <w:rPr>
                <w:rFonts w:eastAsia="Times New Roman" w:cs="Times New Roman"/>
                <w:color w:val="000000"/>
                <w:lang w:eastAsia="da-DK"/>
              </w:rPr>
              <w:t>=(</w:t>
            </w:r>
            <w:proofErr w:type="spellStart"/>
            <w:r w:rsidRPr="00EF7D7F">
              <w:rPr>
                <w:rFonts w:eastAsia="Times New Roman" w:cs="Times New Roman"/>
                <w:color w:val="000000"/>
                <w:lang w:eastAsia="da-DK"/>
              </w:rPr>
              <w:t>Rf+Rs</w:t>
            </w:r>
            <w:proofErr w:type="spellEnd"/>
            <w:r w:rsidRPr="00EF7D7F">
              <w:rPr>
                <w:rFonts w:eastAsia="Times New Roman" w:cs="Times New Roman"/>
                <w:color w:val="000000"/>
                <w:lang w:eastAsia="da-DK"/>
              </w:rPr>
              <w:t>)(1-t)</w:t>
            </w:r>
          </w:p>
        </w:tc>
        <w:tc>
          <w:tcPr>
            <w:tcW w:w="1060" w:type="dxa"/>
            <w:tcBorders>
              <w:top w:val="single" w:sz="4" w:space="0" w:color="auto"/>
              <w:left w:val="nil"/>
              <w:bottom w:val="nil"/>
              <w:right w:val="nil"/>
            </w:tcBorders>
            <w:shd w:val="clear" w:color="auto" w:fill="auto"/>
            <w:noWrap/>
            <w:vAlign w:val="bottom"/>
            <w:hideMark/>
          </w:tcPr>
          <w:p w:rsidR="00080376" w:rsidRPr="00EF7D7F" w:rsidRDefault="00080376" w:rsidP="004E4007">
            <w:pPr>
              <w:spacing w:after="0" w:line="240" w:lineRule="auto"/>
              <w:rPr>
                <w:rFonts w:eastAsia="Times New Roman" w:cs="Times New Roman"/>
                <w:color w:val="000000"/>
                <w:lang w:eastAsia="da-DK"/>
              </w:rPr>
            </w:pPr>
            <w:r w:rsidRPr="00EF7D7F">
              <w:rPr>
                <w:rFonts w:eastAsia="Times New Roman" w:cs="Times New Roman"/>
                <w:color w:val="000000"/>
                <w:lang w:eastAsia="da-DK"/>
              </w:rPr>
              <w:t> </w:t>
            </w:r>
          </w:p>
        </w:tc>
        <w:tc>
          <w:tcPr>
            <w:tcW w:w="2320" w:type="dxa"/>
            <w:tcBorders>
              <w:top w:val="single" w:sz="4" w:space="0" w:color="auto"/>
              <w:left w:val="nil"/>
              <w:bottom w:val="nil"/>
              <w:right w:val="single" w:sz="4" w:space="0" w:color="auto"/>
            </w:tcBorders>
            <w:shd w:val="clear" w:color="auto" w:fill="auto"/>
            <w:noWrap/>
            <w:vAlign w:val="bottom"/>
            <w:hideMark/>
          </w:tcPr>
          <w:p w:rsidR="00080376" w:rsidRPr="00EF7D7F" w:rsidRDefault="00080376" w:rsidP="004E4007">
            <w:pPr>
              <w:spacing w:after="0" w:line="240" w:lineRule="auto"/>
              <w:rPr>
                <w:rFonts w:eastAsia="Times New Roman" w:cs="Times New Roman"/>
                <w:color w:val="000000"/>
                <w:lang w:eastAsia="da-DK"/>
              </w:rPr>
            </w:pPr>
            <w:r w:rsidRPr="00EF7D7F">
              <w:rPr>
                <w:rFonts w:eastAsia="Times New Roman" w:cs="Times New Roman"/>
                <w:color w:val="000000"/>
                <w:lang w:eastAsia="da-DK"/>
              </w:rPr>
              <w:t> </w:t>
            </w:r>
          </w:p>
        </w:tc>
      </w:tr>
      <w:tr w:rsidR="00080376" w:rsidRPr="00EF7D7F" w:rsidTr="004E4007">
        <w:trPr>
          <w:trHeight w:val="315"/>
        </w:trPr>
        <w:tc>
          <w:tcPr>
            <w:tcW w:w="3980" w:type="dxa"/>
            <w:vMerge/>
            <w:tcBorders>
              <w:top w:val="single" w:sz="4" w:space="0" w:color="auto"/>
              <w:left w:val="single" w:sz="4" w:space="0" w:color="auto"/>
              <w:bottom w:val="single" w:sz="4" w:space="0" w:color="auto"/>
              <w:right w:val="nil"/>
            </w:tcBorders>
            <w:vAlign w:val="center"/>
            <w:hideMark/>
          </w:tcPr>
          <w:p w:rsidR="00080376" w:rsidRPr="00EF7D7F" w:rsidRDefault="00080376" w:rsidP="004E4007">
            <w:pPr>
              <w:spacing w:after="0" w:line="240" w:lineRule="auto"/>
              <w:rPr>
                <w:rFonts w:eastAsia="Times New Roman" w:cs="Times New Roman"/>
                <w:color w:val="000000"/>
                <w:lang w:eastAsia="da-DK"/>
              </w:rPr>
            </w:pPr>
          </w:p>
        </w:tc>
        <w:tc>
          <w:tcPr>
            <w:tcW w:w="1060" w:type="dxa"/>
            <w:tcBorders>
              <w:top w:val="nil"/>
              <w:left w:val="nil"/>
              <w:bottom w:val="single" w:sz="4" w:space="0" w:color="auto"/>
              <w:right w:val="nil"/>
            </w:tcBorders>
            <w:shd w:val="clear" w:color="auto" w:fill="auto"/>
            <w:noWrap/>
            <w:vAlign w:val="bottom"/>
            <w:hideMark/>
          </w:tcPr>
          <w:p w:rsidR="00080376" w:rsidRPr="00EF7D7F" w:rsidRDefault="00080376" w:rsidP="004E4007">
            <w:pPr>
              <w:spacing w:after="0" w:line="240" w:lineRule="auto"/>
              <w:rPr>
                <w:rFonts w:eastAsia="Times New Roman" w:cs="Times New Roman"/>
                <w:color w:val="000000"/>
                <w:lang w:eastAsia="da-DK"/>
              </w:rPr>
            </w:pPr>
            <w:r w:rsidRPr="00EF7D7F">
              <w:rPr>
                <w:rFonts w:eastAsia="Times New Roman" w:cs="Times New Roman"/>
                <w:color w:val="000000"/>
                <w:lang w:eastAsia="da-DK"/>
              </w:rPr>
              <w:t> </w:t>
            </w:r>
            <w:proofErr w:type="spellStart"/>
            <w:r w:rsidRPr="004E4007">
              <w:rPr>
                <w:rFonts w:eastAsia="Times New Roman" w:cs="Times New Roman"/>
                <w:color w:val="000000"/>
                <w:lang w:eastAsia="da-DK"/>
              </w:rPr>
              <w:t>Rg</w:t>
            </w:r>
            <w:proofErr w:type="spellEnd"/>
          </w:p>
        </w:tc>
        <w:tc>
          <w:tcPr>
            <w:tcW w:w="2320" w:type="dxa"/>
            <w:tcBorders>
              <w:top w:val="nil"/>
              <w:left w:val="nil"/>
              <w:bottom w:val="single" w:sz="4" w:space="0" w:color="auto"/>
              <w:right w:val="single" w:sz="4" w:space="0" w:color="auto"/>
            </w:tcBorders>
            <w:shd w:val="clear" w:color="auto" w:fill="auto"/>
            <w:noWrap/>
            <w:vAlign w:val="bottom"/>
            <w:hideMark/>
          </w:tcPr>
          <w:p w:rsidR="00080376" w:rsidRPr="00EF7D7F" w:rsidRDefault="00080376" w:rsidP="004E4007">
            <w:pPr>
              <w:spacing w:after="0" w:line="240" w:lineRule="auto"/>
              <w:jc w:val="right"/>
              <w:rPr>
                <w:rFonts w:eastAsia="Times New Roman" w:cs="Times New Roman"/>
                <w:color w:val="000000"/>
                <w:lang w:eastAsia="da-DK"/>
              </w:rPr>
            </w:pPr>
            <w:r w:rsidRPr="00EF7D7F">
              <w:rPr>
                <w:rFonts w:eastAsia="Times New Roman" w:cs="Times New Roman"/>
                <w:color w:val="000000"/>
                <w:lang w:eastAsia="da-DK"/>
              </w:rPr>
              <w:t>1,</w:t>
            </w:r>
            <w:r w:rsidR="00DD4B79" w:rsidRPr="00EF7D7F">
              <w:rPr>
                <w:rFonts w:eastAsia="Times New Roman" w:cs="Times New Roman"/>
                <w:color w:val="000000"/>
                <w:lang w:eastAsia="da-DK"/>
              </w:rPr>
              <w:t>78 %</w:t>
            </w:r>
          </w:p>
        </w:tc>
      </w:tr>
    </w:tbl>
    <w:p w:rsidR="00080376" w:rsidRPr="004E4007" w:rsidRDefault="00080376" w:rsidP="00080376">
      <w:pPr>
        <w:rPr>
          <w:szCs w:val="24"/>
        </w:rPr>
      </w:pPr>
      <w:r w:rsidRPr="004E4007">
        <w:rPr>
          <w:szCs w:val="24"/>
        </w:rPr>
        <w:t>Der skal til fremmedkapitalens afkastningskrav beregnes et selskabsspecifikt risikotillæg, som er et rentetillæg</w:t>
      </w:r>
      <w:r w:rsidR="00261C01">
        <w:rPr>
          <w:szCs w:val="24"/>
        </w:rPr>
        <w:t>,</w:t>
      </w:r>
      <w:r w:rsidRPr="004E4007">
        <w:rPr>
          <w:szCs w:val="24"/>
        </w:rPr>
        <w:t xml:space="preserve"> som kreditorerne kræver i tilfælde af</w:t>
      </w:r>
      <w:r w:rsidR="00261C01">
        <w:rPr>
          <w:szCs w:val="24"/>
        </w:rPr>
        <w:t>, at</w:t>
      </w:r>
      <w:r w:rsidRPr="004E4007">
        <w:rPr>
          <w:szCs w:val="24"/>
        </w:rPr>
        <w:t xml:space="preserve"> Pandora ikke kan betale deres lån tilbage. Risikotillægget ”beregne</w:t>
      </w:r>
      <w:r w:rsidR="00261C01">
        <w:rPr>
          <w:szCs w:val="24"/>
        </w:rPr>
        <w:t>s</w:t>
      </w:r>
      <w:r w:rsidRPr="004E4007">
        <w:rPr>
          <w:szCs w:val="24"/>
        </w:rPr>
        <w:t>” ud fra</w:t>
      </w:r>
      <w:r w:rsidR="00261C01">
        <w:rPr>
          <w:szCs w:val="24"/>
        </w:rPr>
        <w:t>,</w:t>
      </w:r>
      <w:r w:rsidRPr="004E4007">
        <w:rPr>
          <w:szCs w:val="24"/>
        </w:rPr>
        <w:t xml:space="preserve"> hvilken kredit-rating </w:t>
      </w:r>
      <w:r w:rsidR="00DD4B79" w:rsidRPr="004E4007">
        <w:rPr>
          <w:szCs w:val="24"/>
        </w:rPr>
        <w:t>virksomheden</w:t>
      </w:r>
      <w:r w:rsidRPr="004E4007">
        <w:rPr>
          <w:szCs w:val="24"/>
        </w:rPr>
        <w:t xml:space="preserve"> har.</w:t>
      </w:r>
    </w:p>
    <w:p w:rsidR="00080376" w:rsidRPr="004E4007" w:rsidRDefault="00080376" w:rsidP="00080376">
      <w:r w:rsidRPr="004E4007">
        <w:rPr>
          <w:szCs w:val="24"/>
        </w:rPr>
        <w:t xml:space="preserve">Da jeg ikke </w:t>
      </w:r>
      <w:r w:rsidR="00DD4B79" w:rsidRPr="004E4007">
        <w:rPr>
          <w:szCs w:val="24"/>
        </w:rPr>
        <w:t>ud fra</w:t>
      </w:r>
      <w:r w:rsidRPr="004E4007">
        <w:rPr>
          <w:szCs w:val="24"/>
        </w:rPr>
        <w:t xml:space="preserve"> regnskabsanalysen kan beregne eller vurdere koncernens Kredit-Rating, sammenligner jeg</w:t>
      </w:r>
      <w:r w:rsidR="00261C01">
        <w:rPr>
          <w:szCs w:val="24"/>
        </w:rPr>
        <w:t xml:space="preserve"> Pandora med den øvrige branche - I</w:t>
      </w:r>
      <w:r w:rsidRPr="004E4007">
        <w:rPr>
          <w:szCs w:val="24"/>
        </w:rPr>
        <w:t xml:space="preserve"> dette tilfælde Pandoras største konkurrent Tiffany</w:t>
      </w:r>
      <w:r w:rsidR="00261C01">
        <w:rPr>
          <w:szCs w:val="24"/>
        </w:rPr>
        <w:t>, som har en Rating på AA. J</w:t>
      </w:r>
      <w:r w:rsidRPr="004E4007">
        <w:rPr>
          <w:szCs w:val="24"/>
        </w:rPr>
        <w:t>eg antager derfor</w:t>
      </w:r>
      <w:r w:rsidR="00261C01">
        <w:rPr>
          <w:szCs w:val="24"/>
        </w:rPr>
        <w:t>,</w:t>
      </w:r>
      <w:r w:rsidRPr="004E4007">
        <w:rPr>
          <w:szCs w:val="24"/>
        </w:rPr>
        <w:t xml:space="preserve"> at Pandoras rating er på et niveau lavere</w:t>
      </w:r>
      <w:r w:rsidR="00EE661F">
        <w:rPr>
          <w:szCs w:val="24"/>
        </w:rPr>
        <w:t>,</w:t>
      </w:r>
      <w:r w:rsidRPr="004E4007">
        <w:rPr>
          <w:szCs w:val="24"/>
        </w:rPr>
        <w:t xml:space="preserve"> A. en rating på AA er den næst højeste, og en A er den tredje højeste.</w:t>
      </w:r>
      <w:r w:rsidRPr="004E4007">
        <w:rPr>
          <w:rStyle w:val="Fodnotehenvisning"/>
          <w:szCs w:val="24"/>
        </w:rPr>
        <w:footnoteReference w:id="8"/>
      </w:r>
      <w:r w:rsidR="00261C01">
        <w:rPr>
          <w:szCs w:val="24"/>
        </w:rPr>
        <w:t>, m</w:t>
      </w:r>
      <w:r w:rsidRPr="004E4007">
        <w:rPr>
          <w:szCs w:val="24"/>
        </w:rPr>
        <w:t>e</w:t>
      </w:r>
      <w:r w:rsidR="00261C01">
        <w:rPr>
          <w:szCs w:val="24"/>
        </w:rPr>
        <w:t xml:space="preserve">n til stadighed en god rating. </w:t>
      </w:r>
      <w:r w:rsidRPr="004E4007">
        <w:t>For at opnå A (Enkelt-A) skal der være tale om en virksomhed med tilstrækkelig evne til at imødekomme aktuelle betalingsforpligtelser.</w:t>
      </w:r>
    </w:p>
    <w:p w:rsidR="00080376" w:rsidRPr="004E4007" w:rsidRDefault="00080376" w:rsidP="00080376">
      <w:pPr>
        <w:rPr>
          <w:szCs w:val="24"/>
        </w:rPr>
      </w:pPr>
      <w:r w:rsidRPr="004E4007">
        <w:t xml:space="preserve">Virksomhedens skatteprocent er som tidligere nævnt fastsat til </w:t>
      </w:r>
      <w:r w:rsidR="00DD4B79" w:rsidRPr="004E4007">
        <w:t>25 %</w:t>
      </w:r>
    </w:p>
    <w:p w:rsidR="00080376" w:rsidRPr="004E2A86" w:rsidRDefault="004E2A86" w:rsidP="00A2158A">
      <w:pPr>
        <w:pStyle w:val="Overskrift3"/>
      </w:pPr>
      <w:bookmarkStart w:id="11" w:name="_Toc351290068"/>
      <w:r w:rsidRPr="004E2A86">
        <w:lastRenderedPageBreak/>
        <w:t xml:space="preserve">5.2.5 </w:t>
      </w:r>
      <w:r w:rsidR="00A2158A">
        <w:t xml:space="preserve">Udregning af </w:t>
      </w:r>
      <w:r w:rsidR="00080376" w:rsidRPr="004E2A86">
        <w:t xml:space="preserve">Kapitalomkostninger </w:t>
      </w:r>
      <w:r w:rsidR="00A2158A">
        <w:t xml:space="preserve">- </w:t>
      </w:r>
      <w:r w:rsidR="00080376" w:rsidRPr="004E2A86">
        <w:t>WACC.</w:t>
      </w:r>
      <w:bookmarkEnd w:id="11"/>
    </w:p>
    <w:p w:rsidR="00080376" w:rsidRPr="00A67A38" w:rsidRDefault="00080376" w:rsidP="00080376">
      <w:pPr>
        <w:rPr>
          <w:szCs w:val="24"/>
        </w:rPr>
      </w:pPr>
      <w:r w:rsidRPr="00A67A38">
        <w:rPr>
          <w:szCs w:val="24"/>
        </w:rPr>
        <w:t>Ved at indsætte ovenstående beregnede tal i WACC formlen, får vi kapitalomkostningerne til at være.</w:t>
      </w:r>
    </w:p>
    <w:tbl>
      <w:tblPr>
        <w:tblW w:w="7360" w:type="dxa"/>
        <w:tblInd w:w="55" w:type="dxa"/>
        <w:tblCellMar>
          <w:left w:w="70" w:type="dxa"/>
          <w:right w:w="70" w:type="dxa"/>
        </w:tblCellMar>
        <w:tblLook w:val="04A0"/>
      </w:tblPr>
      <w:tblGrid>
        <w:gridCol w:w="4060"/>
        <w:gridCol w:w="1060"/>
        <w:gridCol w:w="2320"/>
      </w:tblGrid>
      <w:tr w:rsidR="00080376" w:rsidRPr="00185268" w:rsidTr="004E4007">
        <w:trPr>
          <w:trHeight w:val="300"/>
        </w:trPr>
        <w:tc>
          <w:tcPr>
            <w:tcW w:w="3980" w:type="dxa"/>
            <w:tcBorders>
              <w:top w:val="single" w:sz="4" w:space="0" w:color="auto"/>
              <w:left w:val="single" w:sz="4" w:space="0" w:color="auto"/>
              <w:bottom w:val="nil"/>
              <w:right w:val="nil"/>
            </w:tcBorders>
            <w:shd w:val="clear" w:color="auto" w:fill="auto"/>
            <w:noWrap/>
            <w:vAlign w:val="bottom"/>
            <w:hideMark/>
          </w:tcPr>
          <w:p w:rsidR="00080376" w:rsidRPr="00185268" w:rsidRDefault="00080376" w:rsidP="004E4007">
            <w:pPr>
              <w:spacing w:after="0" w:line="240" w:lineRule="auto"/>
              <w:rPr>
                <w:rFonts w:eastAsia="Times New Roman" w:cs="Times New Roman"/>
                <w:color w:val="000000"/>
                <w:lang w:eastAsia="da-DK"/>
              </w:rPr>
            </w:pPr>
            <w:r w:rsidRPr="00185268">
              <w:rPr>
                <w:rFonts w:eastAsia="Times New Roman" w:cs="Times New Roman"/>
                <w:color w:val="000000"/>
                <w:lang w:eastAsia="da-DK"/>
              </w:rPr>
              <w:t>Finansielle omkostninger efter skat</w:t>
            </w:r>
          </w:p>
        </w:tc>
        <w:tc>
          <w:tcPr>
            <w:tcW w:w="1060" w:type="dxa"/>
            <w:tcBorders>
              <w:top w:val="single" w:sz="4" w:space="0" w:color="auto"/>
              <w:left w:val="nil"/>
              <w:bottom w:val="nil"/>
              <w:right w:val="nil"/>
            </w:tcBorders>
            <w:shd w:val="clear" w:color="auto" w:fill="auto"/>
            <w:noWrap/>
            <w:vAlign w:val="bottom"/>
            <w:hideMark/>
          </w:tcPr>
          <w:p w:rsidR="00080376" w:rsidRPr="00185268" w:rsidRDefault="00080376" w:rsidP="004E4007">
            <w:pPr>
              <w:spacing w:after="0" w:line="240" w:lineRule="auto"/>
              <w:rPr>
                <w:rFonts w:eastAsia="Times New Roman" w:cs="Times New Roman"/>
                <w:color w:val="000000"/>
                <w:lang w:eastAsia="da-DK"/>
              </w:rPr>
            </w:pPr>
            <w:proofErr w:type="spellStart"/>
            <w:r w:rsidRPr="00185268">
              <w:rPr>
                <w:rFonts w:eastAsia="Times New Roman" w:cs="Times New Roman"/>
                <w:color w:val="000000"/>
                <w:lang w:eastAsia="da-DK"/>
              </w:rPr>
              <w:t>Rg</w:t>
            </w:r>
            <w:proofErr w:type="spellEnd"/>
          </w:p>
        </w:tc>
        <w:tc>
          <w:tcPr>
            <w:tcW w:w="2320" w:type="dxa"/>
            <w:tcBorders>
              <w:top w:val="single" w:sz="4" w:space="0" w:color="auto"/>
              <w:left w:val="nil"/>
              <w:bottom w:val="nil"/>
              <w:right w:val="single" w:sz="4" w:space="0" w:color="auto"/>
            </w:tcBorders>
            <w:shd w:val="clear" w:color="auto" w:fill="auto"/>
            <w:noWrap/>
            <w:vAlign w:val="bottom"/>
            <w:hideMark/>
          </w:tcPr>
          <w:p w:rsidR="00080376" w:rsidRPr="00185268" w:rsidRDefault="00080376" w:rsidP="004E4007">
            <w:pPr>
              <w:spacing w:after="0" w:line="240" w:lineRule="auto"/>
              <w:jc w:val="right"/>
              <w:rPr>
                <w:rFonts w:eastAsia="Times New Roman" w:cs="Times New Roman"/>
                <w:color w:val="000000"/>
                <w:lang w:eastAsia="da-DK"/>
              </w:rPr>
            </w:pPr>
            <w:r w:rsidRPr="00185268">
              <w:rPr>
                <w:rFonts w:eastAsia="Times New Roman" w:cs="Times New Roman"/>
                <w:color w:val="000000"/>
                <w:lang w:eastAsia="da-DK"/>
              </w:rPr>
              <w:t>1,</w:t>
            </w:r>
            <w:r w:rsidR="00DD4B79" w:rsidRPr="00185268">
              <w:rPr>
                <w:rFonts w:eastAsia="Times New Roman" w:cs="Times New Roman"/>
                <w:color w:val="000000"/>
                <w:lang w:eastAsia="da-DK"/>
              </w:rPr>
              <w:t>78 %</w:t>
            </w:r>
          </w:p>
        </w:tc>
      </w:tr>
      <w:tr w:rsidR="00080376" w:rsidRPr="00185268" w:rsidTr="004E4007">
        <w:trPr>
          <w:trHeight w:val="300"/>
        </w:trPr>
        <w:tc>
          <w:tcPr>
            <w:tcW w:w="3980" w:type="dxa"/>
            <w:tcBorders>
              <w:top w:val="nil"/>
              <w:left w:val="single" w:sz="4" w:space="0" w:color="auto"/>
              <w:bottom w:val="nil"/>
              <w:right w:val="nil"/>
            </w:tcBorders>
            <w:shd w:val="clear" w:color="auto" w:fill="auto"/>
            <w:noWrap/>
            <w:vAlign w:val="bottom"/>
            <w:hideMark/>
          </w:tcPr>
          <w:p w:rsidR="00080376" w:rsidRPr="00185268" w:rsidRDefault="00080376" w:rsidP="004E4007">
            <w:pPr>
              <w:spacing w:after="0" w:line="240" w:lineRule="auto"/>
              <w:rPr>
                <w:rFonts w:eastAsia="Times New Roman" w:cs="Times New Roman"/>
                <w:color w:val="000000"/>
                <w:lang w:eastAsia="da-DK"/>
              </w:rPr>
            </w:pPr>
            <w:r w:rsidRPr="00185268">
              <w:rPr>
                <w:rFonts w:eastAsia="Times New Roman" w:cs="Times New Roman"/>
                <w:color w:val="000000"/>
                <w:lang w:eastAsia="da-DK"/>
              </w:rPr>
              <w:t>Ejernes afkastningskrav</w:t>
            </w:r>
          </w:p>
        </w:tc>
        <w:tc>
          <w:tcPr>
            <w:tcW w:w="1060" w:type="dxa"/>
            <w:tcBorders>
              <w:top w:val="nil"/>
              <w:left w:val="nil"/>
              <w:bottom w:val="nil"/>
              <w:right w:val="nil"/>
            </w:tcBorders>
            <w:shd w:val="clear" w:color="auto" w:fill="auto"/>
            <w:noWrap/>
            <w:vAlign w:val="bottom"/>
            <w:hideMark/>
          </w:tcPr>
          <w:p w:rsidR="00080376" w:rsidRPr="00185268" w:rsidRDefault="00080376" w:rsidP="004E4007">
            <w:pPr>
              <w:spacing w:after="0" w:line="240" w:lineRule="auto"/>
              <w:rPr>
                <w:rFonts w:eastAsia="Times New Roman" w:cs="Times New Roman"/>
                <w:color w:val="000000"/>
                <w:lang w:eastAsia="da-DK"/>
              </w:rPr>
            </w:pPr>
            <w:r w:rsidRPr="00185268">
              <w:rPr>
                <w:rFonts w:eastAsia="Times New Roman" w:cs="Times New Roman"/>
                <w:color w:val="000000"/>
                <w:lang w:eastAsia="da-DK"/>
              </w:rPr>
              <w:t>Re</w:t>
            </w:r>
          </w:p>
        </w:tc>
        <w:tc>
          <w:tcPr>
            <w:tcW w:w="2320" w:type="dxa"/>
            <w:tcBorders>
              <w:top w:val="nil"/>
              <w:left w:val="nil"/>
              <w:bottom w:val="nil"/>
              <w:right w:val="single" w:sz="4" w:space="0" w:color="auto"/>
            </w:tcBorders>
            <w:shd w:val="clear" w:color="auto" w:fill="auto"/>
            <w:noWrap/>
            <w:vAlign w:val="bottom"/>
            <w:hideMark/>
          </w:tcPr>
          <w:p w:rsidR="00080376" w:rsidRPr="00185268" w:rsidRDefault="00080376" w:rsidP="004E4007">
            <w:pPr>
              <w:spacing w:after="0" w:line="240" w:lineRule="auto"/>
              <w:jc w:val="right"/>
              <w:rPr>
                <w:rFonts w:eastAsia="Times New Roman" w:cs="Times New Roman"/>
                <w:color w:val="000000"/>
                <w:lang w:eastAsia="da-DK"/>
              </w:rPr>
            </w:pPr>
            <w:r w:rsidRPr="00185268">
              <w:rPr>
                <w:rFonts w:eastAsia="Times New Roman" w:cs="Times New Roman"/>
                <w:color w:val="000000"/>
                <w:lang w:eastAsia="da-DK"/>
              </w:rPr>
              <w:t>10,</w:t>
            </w:r>
            <w:r w:rsidR="00DD4B79" w:rsidRPr="00185268">
              <w:rPr>
                <w:rFonts w:eastAsia="Times New Roman" w:cs="Times New Roman"/>
                <w:color w:val="000000"/>
                <w:lang w:eastAsia="da-DK"/>
              </w:rPr>
              <w:t>80 %</w:t>
            </w:r>
          </w:p>
        </w:tc>
      </w:tr>
      <w:tr w:rsidR="00080376" w:rsidRPr="00185268" w:rsidTr="004E4007">
        <w:trPr>
          <w:trHeight w:val="615"/>
        </w:trPr>
        <w:tc>
          <w:tcPr>
            <w:tcW w:w="3980" w:type="dxa"/>
            <w:tcBorders>
              <w:top w:val="single" w:sz="4" w:space="0" w:color="auto"/>
              <w:left w:val="single" w:sz="4" w:space="0" w:color="auto"/>
              <w:bottom w:val="single" w:sz="4" w:space="0" w:color="auto"/>
              <w:right w:val="nil"/>
            </w:tcBorders>
            <w:shd w:val="clear" w:color="auto" w:fill="auto"/>
            <w:vAlign w:val="bottom"/>
            <w:hideMark/>
          </w:tcPr>
          <w:p w:rsidR="00080376" w:rsidRPr="00185268" w:rsidRDefault="00080376" w:rsidP="004E4007">
            <w:pPr>
              <w:spacing w:after="0" w:line="240" w:lineRule="auto"/>
              <w:rPr>
                <w:rFonts w:eastAsia="Times New Roman" w:cs="Times New Roman"/>
                <w:color w:val="000000"/>
                <w:lang w:eastAsia="da-DK"/>
              </w:rPr>
            </w:pPr>
            <w:r w:rsidRPr="00185268">
              <w:rPr>
                <w:rFonts w:eastAsia="Times New Roman" w:cs="Times New Roman"/>
                <w:color w:val="000000"/>
                <w:lang w:eastAsia="da-DK"/>
              </w:rPr>
              <w:t xml:space="preserve">Kapital omkostninger </w:t>
            </w:r>
            <w:proofErr w:type="spellStart"/>
            <w:r w:rsidRPr="00185268">
              <w:rPr>
                <w:rFonts w:eastAsia="Times New Roman" w:cs="Times New Roman"/>
                <w:color w:val="000000"/>
                <w:lang w:eastAsia="da-DK"/>
              </w:rPr>
              <w:t>Wacc</w:t>
            </w:r>
            <w:proofErr w:type="spellEnd"/>
            <w:r w:rsidRPr="00185268">
              <w:rPr>
                <w:rFonts w:eastAsia="Times New Roman" w:cs="Times New Roman"/>
                <w:color w:val="000000"/>
                <w:lang w:eastAsia="da-DK"/>
              </w:rPr>
              <w:t>=</w:t>
            </w:r>
            <w:r w:rsidRPr="00185268">
              <w:rPr>
                <w:rFonts w:eastAsia="Times New Roman" w:cs="Times New Roman"/>
                <w:color w:val="000000"/>
                <w:lang w:eastAsia="da-DK"/>
              </w:rPr>
              <w:br/>
              <w:t>EK/(</w:t>
            </w:r>
            <w:proofErr w:type="spellStart"/>
            <w:r w:rsidRPr="00185268">
              <w:rPr>
                <w:rFonts w:eastAsia="Times New Roman" w:cs="Times New Roman"/>
                <w:color w:val="000000"/>
                <w:lang w:eastAsia="da-DK"/>
              </w:rPr>
              <w:t>Gæld+EK</w:t>
            </w:r>
            <w:proofErr w:type="spellEnd"/>
            <w:r w:rsidRPr="00185268">
              <w:rPr>
                <w:rFonts w:eastAsia="Times New Roman" w:cs="Times New Roman"/>
                <w:color w:val="000000"/>
                <w:lang w:eastAsia="da-DK"/>
              </w:rPr>
              <w:t>)*Re+(Gæld/(</w:t>
            </w:r>
            <w:proofErr w:type="spellStart"/>
            <w:r w:rsidRPr="00185268">
              <w:rPr>
                <w:rFonts w:eastAsia="Times New Roman" w:cs="Times New Roman"/>
                <w:color w:val="000000"/>
                <w:lang w:eastAsia="da-DK"/>
              </w:rPr>
              <w:t>Gæld+EK</w:t>
            </w:r>
            <w:proofErr w:type="spellEnd"/>
            <w:r w:rsidRPr="00185268">
              <w:rPr>
                <w:rFonts w:eastAsia="Times New Roman" w:cs="Times New Roman"/>
                <w:color w:val="000000"/>
                <w:lang w:eastAsia="da-DK"/>
              </w:rPr>
              <w:t>)*</w:t>
            </w:r>
            <w:proofErr w:type="spellStart"/>
            <w:r w:rsidRPr="00185268">
              <w:rPr>
                <w:rFonts w:eastAsia="Times New Roman" w:cs="Times New Roman"/>
                <w:color w:val="000000"/>
                <w:lang w:eastAsia="da-DK"/>
              </w:rPr>
              <w:t>Rg</w:t>
            </w:r>
            <w:proofErr w:type="spellEnd"/>
          </w:p>
        </w:tc>
        <w:tc>
          <w:tcPr>
            <w:tcW w:w="1060" w:type="dxa"/>
            <w:tcBorders>
              <w:top w:val="single" w:sz="4" w:space="0" w:color="auto"/>
              <w:left w:val="nil"/>
              <w:bottom w:val="single" w:sz="4" w:space="0" w:color="auto"/>
              <w:right w:val="nil"/>
            </w:tcBorders>
            <w:shd w:val="clear" w:color="auto" w:fill="auto"/>
            <w:noWrap/>
            <w:vAlign w:val="bottom"/>
            <w:hideMark/>
          </w:tcPr>
          <w:p w:rsidR="00080376" w:rsidRPr="00185268" w:rsidRDefault="00080376" w:rsidP="004E4007">
            <w:pPr>
              <w:spacing w:after="0" w:line="240" w:lineRule="auto"/>
              <w:rPr>
                <w:rFonts w:eastAsia="Times New Roman" w:cs="Times New Roman"/>
                <w:color w:val="000000"/>
                <w:lang w:eastAsia="da-DK"/>
              </w:rPr>
            </w:pPr>
            <w:r w:rsidRPr="00185268">
              <w:rPr>
                <w:rFonts w:eastAsia="Times New Roman" w:cs="Times New Roman"/>
                <w:color w:val="000000"/>
                <w:lang w:eastAsia="da-DK"/>
              </w:rPr>
              <w:t>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080376" w:rsidRPr="00185268" w:rsidRDefault="00080376" w:rsidP="004E4007">
            <w:pPr>
              <w:spacing w:after="0" w:line="240" w:lineRule="auto"/>
              <w:jc w:val="right"/>
              <w:rPr>
                <w:rFonts w:eastAsia="Times New Roman" w:cs="Times New Roman"/>
                <w:color w:val="000000"/>
                <w:lang w:eastAsia="da-DK"/>
              </w:rPr>
            </w:pPr>
            <w:r w:rsidRPr="00185268">
              <w:rPr>
                <w:rFonts w:eastAsia="Times New Roman" w:cs="Times New Roman"/>
                <w:color w:val="000000"/>
                <w:lang w:eastAsia="da-DK"/>
              </w:rPr>
              <w:t>7,</w:t>
            </w:r>
            <w:r w:rsidR="00DD4B79" w:rsidRPr="00185268">
              <w:rPr>
                <w:rFonts w:eastAsia="Times New Roman" w:cs="Times New Roman"/>
                <w:color w:val="000000"/>
                <w:lang w:eastAsia="da-DK"/>
              </w:rPr>
              <w:t>65 %</w:t>
            </w:r>
          </w:p>
        </w:tc>
      </w:tr>
    </w:tbl>
    <w:p w:rsidR="00080376" w:rsidRPr="004E4007" w:rsidRDefault="00080376" w:rsidP="00080376">
      <w:pPr>
        <w:rPr>
          <w:szCs w:val="24"/>
        </w:rPr>
      </w:pPr>
    </w:p>
    <w:p w:rsidR="00080376" w:rsidRPr="004E4007" w:rsidRDefault="00DD4B79" w:rsidP="00080376">
      <w:pPr>
        <w:rPr>
          <w:szCs w:val="24"/>
          <w:u w:val="double"/>
        </w:rPr>
      </w:pPr>
      <w:r w:rsidRPr="004E4007">
        <w:rPr>
          <w:szCs w:val="24"/>
        </w:rPr>
        <w:t>(10,8 % +(33</w:t>
      </w:r>
      <w:r>
        <w:rPr>
          <w:szCs w:val="24"/>
        </w:rPr>
        <w:t xml:space="preserve"> </w:t>
      </w:r>
      <w:proofErr w:type="gramStart"/>
      <w:r w:rsidRPr="004E4007">
        <w:rPr>
          <w:szCs w:val="24"/>
        </w:rPr>
        <w:t>%/</w:t>
      </w:r>
      <w:proofErr w:type="gramEnd"/>
      <w:r w:rsidRPr="004E4007">
        <w:rPr>
          <w:szCs w:val="24"/>
        </w:rPr>
        <w:t>(33 %+67</w:t>
      </w:r>
      <w:r>
        <w:rPr>
          <w:szCs w:val="24"/>
        </w:rPr>
        <w:t xml:space="preserve"> </w:t>
      </w:r>
      <w:r w:rsidRPr="004E4007">
        <w:rPr>
          <w:szCs w:val="24"/>
        </w:rPr>
        <w:t>%))*1,78%)*</w:t>
      </w:r>
      <w:r w:rsidRPr="004E4007">
        <w:t xml:space="preserve"> </w:t>
      </w:r>
      <w:r w:rsidRPr="004E4007">
        <w:rPr>
          <w:szCs w:val="24"/>
        </w:rPr>
        <w:t>=(67%/(33%+67%))=</w:t>
      </w:r>
      <w:r w:rsidRPr="004E4007">
        <w:rPr>
          <w:szCs w:val="24"/>
          <w:u w:val="double"/>
        </w:rPr>
        <w:t>7,65%</w:t>
      </w:r>
    </w:p>
    <w:p w:rsidR="00080376" w:rsidRPr="004E4007" w:rsidRDefault="00080376" w:rsidP="00080376">
      <w:pPr>
        <w:rPr>
          <w:szCs w:val="24"/>
          <w:u w:val="double"/>
        </w:rPr>
      </w:pPr>
    </w:p>
    <w:p w:rsidR="00080376" w:rsidRPr="004E2A86" w:rsidRDefault="004E2A86" w:rsidP="004E2A86">
      <w:pPr>
        <w:pStyle w:val="Overskrift1"/>
      </w:pPr>
      <w:bookmarkStart w:id="12" w:name="_Toc351290069"/>
      <w:r w:rsidRPr="004E2A86">
        <w:t>6.0 Tilbagediskontering af det frie Cash flow</w:t>
      </w:r>
      <w:bookmarkEnd w:id="12"/>
    </w:p>
    <w:p w:rsidR="00080376" w:rsidRPr="004E4007" w:rsidRDefault="00080376" w:rsidP="00080376">
      <w:r w:rsidRPr="004E4007">
        <w:t xml:space="preserve">Det frie </w:t>
      </w:r>
      <w:r w:rsidR="00DD4B79" w:rsidRPr="004E4007">
        <w:t>Cash flow</w:t>
      </w:r>
      <w:r w:rsidRPr="004E4007">
        <w:t xml:space="preserve"> kan nu tilbagediskonteres med baggrund i de ovenfor beregnede tal. Kapitalværdien af det frie </w:t>
      </w:r>
      <w:r w:rsidR="00DD4B79" w:rsidRPr="004E4007">
        <w:t>Cash flow</w:t>
      </w:r>
      <w:r w:rsidRPr="004E4007">
        <w:t xml:space="preserve"> er estimeret til </w:t>
      </w:r>
      <w:r w:rsidR="003A2F0C">
        <w:t>4</w:t>
      </w:r>
      <w:r w:rsidRPr="004E4007">
        <w:t>.</w:t>
      </w:r>
      <w:r w:rsidR="003A2F0C">
        <w:t>405</w:t>
      </w:r>
      <w:r w:rsidRPr="004E4007">
        <w:t>.000.000 på baggrund af en kalkulationsrente på 7,</w:t>
      </w:r>
      <w:proofErr w:type="gramStart"/>
      <w:r w:rsidRPr="004E4007">
        <w:t>65%</w:t>
      </w:r>
      <w:proofErr w:type="gramEnd"/>
      <w:r w:rsidRPr="004E4007">
        <w:t>.</w:t>
      </w:r>
    </w:p>
    <w:p w:rsidR="00080376" w:rsidRPr="004E4007" w:rsidRDefault="00080376" w:rsidP="00080376"/>
    <w:tbl>
      <w:tblPr>
        <w:tblW w:w="5000" w:type="pct"/>
        <w:tblCellMar>
          <w:left w:w="70" w:type="dxa"/>
          <w:right w:w="70" w:type="dxa"/>
        </w:tblCellMar>
        <w:tblLook w:val="04A0"/>
      </w:tblPr>
      <w:tblGrid>
        <w:gridCol w:w="4892"/>
        <w:gridCol w:w="1208"/>
        <w:gridCol w:w="2304"/>
        <w:gridCol w:w="1374"/>
      </w:tblGrid>
      <w:tr w:rsidR="00664489" w:rsidRPr="00664489" w:rsidTr="00132911">
        <w:trPr>
          <w:trHeight w:val="537"/>
        </w:trPr>
        <w:tc>
          <w:tcPr>
            <w:tcW w:w="2502" w:type="pct"/>
            <w:tcBorders>
              <w:top w:val="single" w:sz="4" w:space="0" w:color="auto"/>
              <w:left w:val="single" w:sz="4" w:space="0" w:color="auto"/>
              <w:bottom w:val="single" w:sz="4" w:space="0" w:color="auto"/>
              <w:right w:val="nil"/>
            </w:tcBorders>
            <w:shd w:val="clear" w:color="auto" w:fill="auto"/>
            <w:noWrap/>
            <w:vAlign w:val="bottom"/>
            <w:hideMark/>
          </w:tcPr>
          <w:p w:rsidR="00664489" w:rsidRPr="00664489" w:rsidRDefault="00664489" w:rsidP="00132911">
            <w:pPr>
              <w:rPr>
                <w:lang w:eastAsia="da-DK"/>
              </w:rPr>
            </w:pPr>
            <w:r w:rsidRPr="00664489">
              <w:rPr>
                <w:lang w:eastAsia="da-DK"/>
              </w:rPr>
              <w:t>Tilbage diskontering af budget perioden</w:t>
            </w:r>
          </w:p>
        </w:tc>
        <w:tc>
          <w:tcPr>
            <w:tcW w:w="618" w:type="pct"/>
            <w:tcBorders>
              <w:top w:val="single" w:sz="4" w:space="0" w:color="auto"/>
              <w:left w:val="nil"/>
              <w:bottom w:val="single" w:sz="4" w:space="0" w:color="auto"/>
              <w:right w:val="nil"/>
            </w:tcBorders>
            <w:shd w:val="clear" w:color="auto" w:fill="auto"/>
            <w:noWrap/>
            <w:vAlign w:val="bottom"/>
            <w:hideMark/>
          </w:tcPr>
          <w:p w:rsidR="00664489" w:rsidRPr="00664489" w:rsidRDefault="00664489" w:rsidP="00132911">
            <w:pPr>
              <w:rPr>
                <w:lang w:eastAsia="da-DK"/>
              </w:rPr>
            </w:pPr>
            <w:r w:rsidRPr="00664489">
              <w:rPr>
                <w:lang w:eastAsia="da-DK"/>
              </w:rPr>
              <w:t> </w:t>
            </w:r>
          </w:p>
        </w:tc>
        <w:tc>
          <w:tcPr>
            <w:tcW w:w="1178" w:type="pct"/>
            <w:tcBorders>
              <w:top w:val="single" w:sz="4" w:space="0" w:color="auto"/>
              <w:left w:val="nil"/>
              <w:bottom w:val="single" w:sz="4" w:space="0" w:color="auto"/>
              <w:right w:val="nil"/>
            </w:tcBorders>
            <w:shd w:val="clear" w:color="auto" w:fill="auto"/>
            <w:noWrap/>
            <w:vAlign w:val="bottom"/>
            <w:hideMark/>
          </w:tcPr>
          <w:p w:rsidR="00664489" w:rsidRPr="00664489" w:rsidRDefault="00664489" w:rsidP="00132911">
            <w:pPr>
              <w:rPr>
                <w:lang w:eastAsia="da-DK"/>
              </w:rPr>
            </w:pPr>
            <w:r w:rsidRPr="00664489">
              <w:rPr>
                <w:lang w:eastAsia="da-DK"/>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 </w:t>
            </w:r>
          </w:p>
        </w:tc>
      </w:tr>
      <w:tr w:rsidR="00664489" w:rsidRPr="00664489" w:rsidTr="00A67A38">
        <w:trPr>
          <w:trHeight w:val="537"/>
        </w:trPr>
        <w:tc>
          <w:tcPr>
            <w:tcW w:w="2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År</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FCF</w:t>
            </w:r>
          </w:p>
        </w:tc>
        <w:tc>
          <w:tcPr>
            <w:tcW w:w="1178" w:type="pct"/>
            <w:tcBorders>
              <w:top w:val="single" w:sz="4" w:space="0" w:color="auto"/>
              <w:left w:val="nil"/>
              <w:bottom w:val="single" w:sz="4" w:space="0" w:color="auto"/>
              <w:right w:val="single" w:sz="4" w:space="0" w:color="auto"/>
            </w:tcBorders>
            <w:shd w:val="clear" w:color="auto" w:fill="auto"/>
            <w:hideMark/>
          </w:tcPr>
          <w:p w:rsidR="00664489" w:rsidRPr="00664489" w:rsidRDefault="00664489" w:rsidP="00A67A38">
            <w:pPr>
              <w:rPr>
                <w:lang w:eastAsia="da-DK"/>
              </w:rPr>
            </w:pPr>
            <w:r w:rsidRPr="00664489">
              <w:rPr>
                <w:lang w:eastAsia="da-DK"/>
              </w:rPr>
              <w:t xml:space="preserve">Diskonteringsfaktoren </w:t>
            </w:r>
            <w:r w:rsidRPr="00664489">
              <w:rPr>
                <w:lang w:eastAsia="da-DK"/>
              </w:rPr>
              <w:br/>
              <w:t>(1+WACC)</w:t>
            </w:r>
            <w:r w:rsidRPr="00A67A38">
              <w:rPr>
                <w:sz w:val="32"/>
                <w:szCs w:val="32"/>
                <w:vertAlign w:val="superscript"/>
                <w:lang w:eastAsia="da-DK"/>
              </w:rPr>
              <w:t>-n</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PV</w:t>
            </w:r>
          </w:p>
        </w:tc>
      </w:tr>
      <w:tr w:rsidR="00664489" w:rsidRPr="00664489" w:rsidTr="00132911">
        <w:trPr>
          <w:trHeight w:val="537"/>
        </w:trPr>
        <w:tc>
          <w:tcPr>
            <w:tcW w:w="2502" w:type="pct"/>
            <w:tcBorders>
              <w:top w:val="single" w:sz="4" w:space="0" w:color="auto"/>
              <w:left w:val="single" w:sz="4" w:space="0" w:color="auto"/>
              <w:bottom w:val="nil"/>
              <w:right w:val="single" w:sz="4" w:space="0" w:color="auto"/>
            </w:tcBorders>
            <w:shd w:val="clear" w:color="auto" w:fill="auto"/>
            <w:noWrap/>
            <w:vAlign w:val="bottom"/>
            <w:hideMark/>
          </w:tcPr>
          <w:p w:rsidR="00664489" w:rsidRPr="00664489" w:rsidRDefault="00132911" w:rsidP="00132911">
            <w:pPr>
              <w:rPr>
                <w:lang w:eastAsia="da-DK"/>
              </w:rPr>
            </w:pPr>
            <w:r>
              <w:rPr>
                <w:lang w:eastAsia="da-DK"/>
              </w:rPr>
              <w:t>2012</w:t>
            </w:r>
          </w:p>
        </w:tc>
        <w:tc>
          <w:tcPr>
            <w:tcW w:w="618" w:type="pct"/>
            <w:tcBorders>
              <w:top w:val="single" w:sz="4" w:space="0" w:color="auto"/>
              <w:left w:val="nil"/>
              <w:bottom w:val="nil"/>
              <w:right w:val="single" w:sz="4" w:space="0" w:color="auto"/>
            </w:tcBorders>
            <w:shd w:val="clear" w:color="000000" w:fill="FFFF00"/>
            <w:noWrap/>
            <w:vAlign w:val="bottom"/>
            <w:hideMark/>
          </w:tcPr>
          <w:p w:rsidR="00664489" w:rsidRPr="00664489" w:rsidRDefault="00664489" w:rsidP="003A2F0C">
            <w:pPr>
              <w:rPr>
                <w:lang w:eastAsia="da-DK"/>
              </w:rPr>
            </w:pPr>
            <w:r w:rsidRPr="00664489">
              <w:rPr>
                <w:lang w:eastAsia="da-DK"/>
              </w:rPr>
              <w:t xml:space="preserve">       89</w:t>
            </w:r>
            <w:r w:rsidR="003A2F0C">
              <w:rPr>
                <w:lang w:eastAsia="da-DK"/>
              </w:rPr>
              <w:t>6</w:t>
            </w:r>
            <w:r w:rsidRPr="00664489">
              <w:rPr>
                <w:lang w:eastAsia="da-DK"/>
              </w:rPr>
              <w:t xml:space="preserve"> </w:t>
            </w:r>
          </w:p>
        </w:tc>
        <w:tc>
          <w:tcPr>
            <w:tcW w:w="1178" w:type="pct"/>
            <w:tcBorders>
              <w:top w:val="single" w:sz="4" w:space="0" w:color="auto"/>
              <w:left w:val="nil"/>
              <w:bottom w:val="nil"/>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0,92893</w:t>
            </w:r>
          </w:p>
        </w:tc>
        <w:tc>
          <w:tcPr>
            <w:tcW w:w="703" w:type="pct"/>
            <w:tcBorders>
              <w:top w:val="single" w:sz="4" w:space="0" w:color="auto"/>
              <w:left w:val="nil"/>
              <w:bottom w:val="nil"/>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 xml:space="preserve">                832 </w:t>
            </w:r>
          </w:p>
        </w:tc>
      </w:tr>
      <w:tr w:rsidR="00664489" w:rsidRPr="00664489" w:rsidTr="00132911">
        <w:trPr>
          <w:trHeight w:val="537"/>
        </w:trPr>
        <w:tc>
          <w:tcPr>
            <w:tcW w:w="2502" w:type="pct"/>
            <w:tcBorders>
              <w:top w:val="nil"/>
              <w:left w:val="single" w:sz="4" w:space="0" w:color="auto"/>
              <w:bottom w:val="nil"/>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2</w:t>
            </w:r>
            <w:r w:rsidR="00132911">
              <w:rPr>
                <w:lang w:eastAsia="da-DK"/>
              </w:rPr>
              <w:t>013</w:t>
            </w:r>
          </w:p>
        </w:tc>
        <w:tc>
          <w:tcPr>
            <w:tcW w:w="618" w:type="pct"/>
            <w:tcBorders>
              <w:top w:val="nil"/>
              <w:left w:val="nil"/>
              <w:bottom w:val="nil"/>
              <w:right w:val="single" w:sz="4" w:space="0" w:color="auto"/>
            </w:tcBorders>
            <w:shd w:val="clear" w:color="000000" w:fill="FFFF00"/>
            <w:noWrap/>
            <w:vAlign w:val="bottom"/>
            <w:hideMark/>
          </w:tcPr>
          <w:p w:rsidR="00664489" w:rsidRPr="00664489" w:rsidRDefault="00664489" w:rsidP="003A2F0C">
            <w:pPr>
              <w:rPr>
                <w:lang w:eastAsia="da-DK"/>
              </w:rPr>
            </w:pPr>
            <w:r w:rsidRPr="00664489">
              <w:rPr>
                <w:lang w:eastAsia="da-DK"/>
              </w:rPr>
              <w:t xml:space="preserve">       974 </w:t>
            </w:r>
          </w:p>
        </w:tc>
        <w:tc>
          <w:tcPr>
            <w:tcW w:w="1178" w:type="pct"/>
            <w:tcBorders>
              <w:top w:val="nil"/>
              <w:left w:val="nil"/>
              <w:bottom w:val="nil"/>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0,86292</w:t>
            </w:r>
          </w:p>
        </w:tc>
        <w:tc>
          <w:tcPr>
            <w:tcW w:w="703" w:type="pct"/>
            <w:tcBorders>
              <w:top w:val="nil"/>
              <w:left w:val="nil"/>
              <w:bottom w:val="nil"/>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 xml:space="preserve">                841 </w:t>
            </w:r>
          </w:p>
        </w:tc>
      </w:tr>
      <w:tr w:rsidR="00664489" w:rsidRPr="00664489" w:rsidTr="00132911">
        <w:trPr>
          <w:trHeight w:val="537"/>
        </w:trPr>
        <w:tc>
          <w:tcPr>
            <w:tcW w:w="2502" w:type="pct"/>
            <w:tcBorders>
              <w:top w:val="nil"/>
              <w:left w:val="single" w:sz="4" w:space="0" w:color="auto"/>
              <w:bottom w:val="nil"/>
              <w:right w:val="single" w:sz="4" w:space="0" w:color="auto"/>
            </w:tcBorders>
            <w:shd w:val="clear" w:color="auto" w:fill="auto"/>
            <w:noWrap/>
            <w:vAlign w:val="bottom"/>
            <w:hideMark/>
          </w:tcPr>
          <w:p w:rsidR="00664489" w:rsidRPr="00664489" w:rsidRDefault="00132911" w:rsidP="00132911">
            <w:pPr>
              <w:rPr>
                <w:lang w:eastAsia="da-DK"/>
              </w:rPr>
            </w:pPr>
            <w:r>
              <w:rPr>
                <w:lang w:eastAsia="da-DK"/>
              </w:rPr>
              <w:t>2014</w:t>
            </w:r>
          </w:p>
        </w:tc>
        <w:tc>
          <w:tcPr>
            <w:tcW w:w="618" w:type="pct"/>
            <w:tcBorders>
              <w:top w:val="nil"/>
              <w:left w:val="nil"/>
              <w:bottom w:val="nil"/>
              <w:right w:val="single" w:sz="4" w:space="0" w:color="auto"/>
            </w:tcBorders>
            <w:shd w:val="clear" w:color="000000" w:fill="FFFF00"/>
            <w:noWrap/>
            <w:vAlign w:val="bottom"/>
            <w:hideMark/>
          </w:tcPr>
          <w:p w:rsidR="00664489" w:rsidRPr="00664489" w:rsidRDefault="00664489" w:rsidP="003A2F0C">
            <w:pPr>
              <w:rPr>
                <w:lang w:eastAsia="da-DK"/>
              </w:rPr>
            </w:pPr>
            <w:r w:rsidRPr="00664489">
              <w:rPr>
                <w:lang w:eastAsia="da-DK"/>
              </w:rPr>
              <w:t xml:space="preserve">    1.117 </w:t>
            </w:r>
          </w:p>
        </w:tc>
        <w:tc>
          <w:tcPr>
            <w:tcW w:w="1178" w:type="pct"/>
            <w:tcBorders>
              <w:top w:val="nil"/>
              <w:left w:val="nil"/>
              <w:bottom w:val="nil"/>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0,80159</w:t>
            </w:r>
          </w:p>
        </w:tc>
        <w:tc>
          <w:tcPr>
            <w:tcW w:w="703" w:type="pct"/>
            <w:tcBorders>
              <w:top w:val="nil"/>
              <w:left w:val="nil"/>
              <w:bottom w:val="nil"/>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 xml:space="preserve">                895 </w:t>
            </w:r>
          </w:p>
        </w:tc>
      </w:tr>
      <w:tr w:rsidR="00664489" w:rsidRPr="00664489" w:rsidTr="00132911">
        <w:trPr>
          <w:trHeight w:val="537"/>
        </w:trPr>
        <w:tc>
          <w:tcPr>
            <w:tcW w:w="2502" w:type="pct"/>
            <w:tcBorders>
              <w:top w:val="nil"/>
              <w:left w:val="single" w:sz="4" w:space="0" w:color="auto"/>
              <w:bottom w:val="nil"/>
              <w:right w:val="single" w:sz="4" w:space="0" w:color="auto"/>
            </w:tcBorders>
            <w:shd w:val="clear" w:color="auto" w:fill="auto"/>
            <w:noWrap/>
            <w:vAlign w:val="bottom"/>
            <w:hideMark/>
          </w:tcPr>
          <w:p w:rsidR="00664489" w:rsidRPr="00664489" w:rsidRDefault="00132911" w:rsidP="00132911">
            <w:pPr>
              <w:rPr>
                <w:lang w:eastAsia="da-DK"/>
              </w:rPr>
            </w:pPr>
            <w:r>
              <w:rPr>
                <w:lang w:eastAsia="da-DK"/>
              </w:rPr>
              <w:t>2015</w:t>
            </w:r>
          </w:p>
        </w:tc>
        <w:tc>
          <w:tcPr>
            <w:tcW w:w="618" w:type="pct"/>
            <w:tcBorders>
              <w:top w:val="nil"/>
              <w:left w:val="nil"/>
              <w:bottom w:val="nil"/>
              <w:right w:val="single" w:sz="4" w:space="0" w:color="auto"/>
            </w:tcBorders>
            <w:shd w:val="clear" w:color="000000" w:fill="FFFF00"/>
            <w:noWrap/>
            <w:vAlign w:val="bottom"/>
            <w:hideMark/>
          </w:tcPr>
          <w:p w:rsidR="00664489" w:rsidRPr="00664489" w:rsidRDefault="00664489" w:rsidP="003A2F0C">
            <w:pPr>
              <w:rPr>
                <w:lang w:eastAsia="da-DK"/>
              </w:rPr>
            </w:pPr>
            <w:r w:rsidRPr="00664489">
              <w:rPr>
                <w:lang w:eastAsia="da-DK"/>
              </w:rPr>
              <w:t xml:space="preserve">    1.251 </w:t>
            </w:r>
          </w:p>
        </w:tc>
        <w:tc>
          <w:tcPr>
            <w:tcW w:w="1178" w:type="pct"/>
            <w:tcBorders>
              <w:top w:val="nil"/>
              <w:left w:val="nil"/>
              <w:bottom w:val="nil"/>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0,74463</w:t>
            </w:r>
          </w:p>
        </w:tc>
        <w:tc>
          <w:tcPr>
            <w:tcW w:w="703" w:type="pct"/>
            <w:tcBorders>
              <w:top w:val="nil"/>
              <w:left w:val="nil"/>
              <w:bottom w:val="nil"/>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 xml:space="preserve">                932 </w:t>
            </w:r>
          </w:p>
        </w:tc>
      </w:tr>
      <w:tr w:rsidR="00664489" w:rsidRPr="00664489" w:rsidTr="00132911">
        <w:trPr>
          <w:trHeight w:val="537"/>
        </w:trPr>
        <w:tc>
          <w:tcPr>
            <w:tcW w:w="2502" w:type="pct"/>
            <w:tcBorders>
              <w:top w:val="nil"/>
              <w:left w:val="single" w:sz="4" w:space="0" w:color="auto"/>
              <w:bottom w:val="single" w:sz="4" w:space="0" w:color="auto"/>
              <w:right w:val="single" w:sz="4" w:space="0" w:color="auto"/>
            </w:tcBorders>
            <w:shd w:val="clear" w:color="auto" w:fill="auto"/>
            <w:noWrap/>
            <w:vAlign w:val="bottom"/>
            <w:hideMark/>
          </w:tcPr>
          <w:p w:rsidR="00664489" w:rsidRPr="00664489" w:rsidRDefault="00132911" w:rsidP="00132911">
            <w:pPr>
              <w:rPr>
                <w:lang w:eastAsia="da-DK"/>
              </w:rPr>
            </w:pPr>
            <w:r>
              <w:rPr>
                <w:lang w:eastAsia="da-DK"/>
              </w:rPr>
              <w:t>2016</w:t>
            </w:r>
          </w:p>
        </w:tc>
        <w:tc>
          <w:tcPr>
            <w:tcW w:w="618" w:type="pct"/>
            <w:tcBorders>
              <w:top w:val="nil"/>
              <w:left w:val="nil"/>
              <w:bottom w:val="single" w:sz="4" w:space="0" w:color="auto"/>
              <w:right w:val="single" w:sz="4" w:space="0" w:color="auto"/>
            </w:tcBorders>
            <w:shd w:val="clear" w:color="000000" w:fill="FFFF00"/>
            <w:noWrap/>
            <w:vAlign w:val="bottom"/>
            <w:hideMark/>
          </w:tcPr>
          <w:p w:rsidR="00664489" w:rsidRPr="00664489" w:rsidRDefault="003A2F0C" w:rsidP="003A2F0C">
            <w:pPr>
              <w:rPr>
                <w:lang w:eastAsia="da-DK"/>
              </w:rPr>
            </w:pPr>
            <w:r>
              <w:rPr>
                <w:lang w:eastAsia="da-DK"/>
              </w:rPr>
              <w:t xml:space="preserve">    1.309</w:t>
            </w:r>
            <w:r w:rsidR="00664489" w:rsidRPr="00664489">
              <w:rPr>
                <w:lang w:eastAsia="da-DK"/>
              </w:rPr>
              <w:t xml:space="preserve"> </w:t>
            </w:r>
          </w:p>
        </w:tc>
        <w:tc>
          <w:tcPr>
            <w:tcW w:w="1178" w:type="pct"/>
            <w:tcBorders>
              <w:top w:val="nil"/>
              <w:left w:val="nil"/>
              <w:bottom w:val="single" w:sz="4" w:space="0" w:color="auto"/>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0,69171</w:t>
            </w:r>
          </w:p>
        </w:tc>
        <w:tc>
          <w:tcPr>
            <w:tcW w:w="703" w:type="pct"/>
            <w:tcBorders>
              <w:top w:val="nil"/>
              <w:left w:val="nil"/>
              <w:bottom w:val="nil"/>
              <w:right w:val="single" w:sz="4" w:space="0" w:color="auto"/>
            </w:tcBorders>
            <w:shd w:val="clear" w:color="auto" w:fill="auto"/>
            <w:noWrap/>
            <w:vAlign w:val="bottom"/>
            <w:hideMark/>
          </w:tcPr>
          <w:p w:rsidR="00664489" w:rsidRPr="00664489" w:rsidRDefault="00664489" w:rsidP="00132911">
            <w:pPr>
              <w:rPr>
                <w:lang w:eastAsia="da-DK"/>
              </w:rPr>
            </w:pPr>
            <w:r w:rsidRPr="00664489">
              <w:rPr>
                <w:lang w:eastAsia="da-DK"/>
              </w:rPr>
              <w:t xml:space="preserve">                905 </w:t>
            </w:r>
          </w:p>
        </w:tc>
      </w:tr>
      <w:tr w:rsidR="00664489" w:rsidRPr="00664489" w:rsidTr="00132911">
        <w:trPr>
          <w:trHeight w:val="538"/>
        </w:trPr>
        <w:tc>
          <w:tcPr>
            <w:tcW w:w="2502" w:type="pct"/>
            <w:tcBorders>
              <w:top w:val="nil"/>
              <w:left w:val="single" w:sz="4" w:space="0" w:color="auto"/>
              <w:bottom w:val="double" w:sz="6" w:space="0" w:color="auto"/>
              <w:right w:val="nil"/>
            </w:tcBorders>
            <w:shd w:val="clear" w:color="auto" w:fill="auto"/>
            <w:noWrap/>
            <w:vAlign w:val="bottom"/>
            <w:hideMark/>
          </w:tcPr>
          <w:p w:rsidR="00664489" w:rsidRPr="00664489" w:rsidRDefault="00664489" w:rsidP="00132911">
            <w:pPr>
              <w:rPr>
                <w:lang w:eastAsia="da-DK"/>
              </w:rPr>
            </w:pPr>
            <w:r w:rsidRPr="00664489">
              <w:rPr>
                <w:lang w:eastAsia="da-DK"/>
              </w:rPr>
              <w:t xml:space="preserve">Kapitalværdien af det frie </w:t>
            </w:r>
            <w:proofErr w:type="spellStart"/>
            <w:r w:rsidRPr="00664489">
              <w:rPr>
                <w:lang w:eastAsia="da-DK"/>
              </w:rPr>
              <w:t>cash</w:t>
            </w:r>
            <w:proofErr w:type="spellEnd"/>
            <w:r w:rsidRPr="00664489">
              <w:rPr>
                <w:lang w:eastAsia="da-DK"/>
              </w:rPr>
              <w:t xml:space="preserve"> flow.</w:t>
            </w:r>
          </w:p>
        </w:tc>
        <w:tc>
          <w:tcPr>
            <w:tcW w:w="618" w:type="pct"/>
            <w:tcBorders>
              <w:top w:val="nil"/>
              <w:left w:val="nil"/>
              <w:bottom w:val="double" w:sz="6" w:space="0" w:color="auto"/>
              <w:right w:val="nil"/>
            </w:tcBorders>
            <w:shd w:val="clear" w:color="auto" w:fill="auto"/>
            <w:noWrap/>
            <w:vAlign w:val="center"/>
            <w:hideMark/>
          </w:tcPr>
          <w:p w:rsidR="00664489" w:rsidRPr="00664489" w:rsidRDefault="00664489" w:rsidP="00132911">
            <w:pPr>
              <w:rPr>
                <w:lang w:eastAsia="da-DK"/>
              </w:rPr>
            </w:pPr>
            <w:r w:rsidRPr="00664489">
              <w:rPr>
                <w:lang w:eastAsia="da-DK"/>
              </w:rPr>
              <w:t> </w:t>
            </w:r>
          </w:p>
        </w:tc>
        <w:tc>
          <w:tcPr>
            <w:tcW w:w="1178" w:type="pct"/>
            <w:tcBorders>
              <w:top w:val="nil"/>
              <w:left w:val="nil"/>
              <w:bottom w:val="double" w:sz="6" w:space="0" w:color="auto"/>
              <w:right w:val="nil"/>
            </w:tcBorders>
            <w:shd w:val="clear" w:color="auto" w:fill="auto"/>
            <w:noWrap/>
            <w:vAlign w:val="center"/>
            <w:hideMark/>
          </w:tcPr>
          <w:p w:rsidR="00664489" w:rsidRPr="00664489" w:rsidRDefault="00664489" w:rsidP="00132911">
            <w:pPr>
              <w:rPr>
                <w:lang w:eastAsia="da-DK"/>
              </w:rPr>
            </w:pPr>
            <w:r w:rsidRPr="00664489">
              <w:rPr>
                <w:lang w:eastAsia="da-DK"/>
              </w:rPr>
              <w:t> </w:t>
            </w:r>
          </w:p>
        </w:tc>
        <w:tc>
          <w:tcPr>
            <w:tcW w:w="703" w:type="pct"/>
            <w:tcBorders>
              <w:top w:val="single" w:sz="4" w:space="0" w:color="auto"/>
              <w:left w:val="nil"/>
              <w:bottom w:val="double" w:sz="6" w:space="0" w:color="auto"/>
              <w:right w:val="single" w:sz="4" w:space="0" w:color="auto"/>
            </w:tcBorders>
            <w:shd w:val="clear" w:color="auto" w:fill="auto"/>
            <w:noWrap/>
            <w:vAlign w:val="center"/>
            <w:hideMark/>
          </w:tcPr>
          <w:p w:rsidR="00664489" w:rsidRPr="00664489" w:rsidRDefault="00664489" w:rsidP="00132911">
            <w:pPr>
              <w:jc w:val="right"/>
              <w:rPr>
                <w:lang w:eastAsia="da-DK"/>
              </w:rPr>
            </w:pPr>
            <w:r w:rsidRPr="00664489">
              <w:rPr>
                <w:lang w:eastAsia="da-DK"/>
              </w:rPr>
              <w:t>4.405</w:t>
            </w:r>
          </w:p>
        </w:tc>
      </w:tr>
    </w:tbl>
    <w:p w:rsidR="00F52006" w:rsidRDefault="00F52006" w:rsidP="00080376">
      <w:pPr>
        <w:rPr>
          <w:szCs w:val="24"/>
        </w:rPr>
      </w:pPr>
    </w:p>
    <w:p w:rsidR="00F52006" w:rsidRDefault="00F52006" w:rsidP="00F52006">
      <w:r>
        <w:br w:type="page"/>
      </w:r>
    </w:p>
    <w:p w:rsidR="004E2A86" w:rsidRDefault="004E2A86" w:rsidP="004E2A86">
      <w:pPr>
        <w:pStyle w:val="Overskrift1"/>
      </w:pPr>
      <w:bookmarkStart w:id="13" w:name="_Toc351290070"/>
      <w:r>
        <w:lastRenderedPageBreak/>
        <w:t>7.0 Samlet værdi af egenkapitalen i Pandora</w:t>
      </w:r>
      <w:bookmarkEnd w:id="13"/>
    </w:p>
    <w:tbl>
      <w:tblPr>
        <w:tblW w:w="0" w:type="auto"/>
        <w:tblInd w:w="55" w:type="dxa"/>
        <w:tblCellMar>
          <w:left w:w="70" w:type="dxa"/>
          <w:right w:w="70" w:type="dxa"/>
        </w:tblCellMar>
        <w:tblLook w:val="04A0"/>
      </w:tblPr>
      <w:tblGrid>
        <w:gridCol w:w="3621"/>
        <w:gridCol w:w="195"/>
        <w:gridCol w:w="2817"/>
      </w:tblGrid>
      <w:tr w:rsidR="00B32955" w:rsidRPr="00B32955" w:rsidTr="00BE0A57">
        <w:trPr>
          <w:trHeight w:val="330"/>
        </w:trPr>
        <w:tc>
          <w:tcPr>
            <w:tcW w:w="0" w:type="auto"/>
            <w:tcBorders>
              <w:top w:val="single" w:sz="4" w:space="0" w:color="auto"/>
              <w:left w:val="single" w:sz="4" w:space="0" w:color="auto"/>
              <w:bottom w:val="nil"/>
              <w:right w:val="nil"/>
            </w:tcBorders>
            <w:shd w:val="clear" w:color="auto" w:fill="auto"/>
            <w:noWrap/>
            <w:vAlign w:val="bottom"/>
            <w:hideMark/>
          </w:tcPr>
          <w:p w:rsidR="00FA0221" w:rsidRPr="00B32955" w:rsidRDefault="00B32955" w:rsidP="00B32955">
            <w:pPr>
              <w:rPr>
                <w:lang w:eastAsia="da-DK"/>
              </w:rPr>
            </w:pPr>
            <w:r w:rsidRPr="00B32955">
              <w:rPr>
                <w:lang w:eastAsia="da-DK"/>
              </w:rPr>
              <w:t>Estimeret Terminal-år</w:t>
            </w:r>
          </w:p>
        </w:tc>
        <w:tc>
          <w:tcPr>
            <w:tcW w:w="0" w:type="auto"/>
            <w:tcBorders>
              <w:top w:val="single" w:sz="4" w:space="0" w:color="auto"/>
              <w:left w:val="nil"/>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single" w:sz="4" w:space="0" w:color="auto"/>
              <w:left w:val="nil"/>
              <w:bottom w:val="nil"/>
              <w:right w:val="single" w:sz="4" w:space="0" w:color="auto"/>
            </w:tcBorders>
            <w:shd w:val="clear" w:color="000000" w:fill="FFFF00"/>
            <w:noWrap/>
            <w:vAlign w:val="bottom"/>
            <w:hideMark/>
          </w:tcPr>
          <w:p w:rsidR="00B32955" w:rsidRPr="00B32955" w:rsidRDefault="00B32955" w:rsidP="00B32955">
            <w:pPr>
              <w:rPr>
                <w:lang w:eastAsia="da-DK"/>
              </w:rPr>
            </w:pPr>
            <w:r w:rsidRPr="00B32955">
              <w:rPr>
                <w:lang w:eastAsia="da-DK"/>
              </w:rPr>
              <w:t xml:space="preserve">       </w:t>
            </w:r>
            <w:r w:rsidR="00FA0221">
              <w:rPr>
                <w:lang w:eastAsia="da-DK"/>
              </w:rPr>
              <w:t xml:space="preserve">                               1.000</w:t>
            </w:r>
            <w:r w:rsidRPr="00B32955">
              <w:rPr>
                <w:lang w:eastAsia="da-DK"/>
              </w:rPr>
              <w:t xml:space="preserve"> </w:t>
            </w:r>
          </w:p>
        </w:tc>
      </w:tr>
      <w:tr w:rsidR="00B32955" w:rsidRPr="00B32955" w:rsidTr="00BE0A57">
        <w:trPr>
          <w:trHeight w:val="315"/>
        </w:trPr>
        <w:tc>
          <w:tcPr>
            <w:tcW w:w="0" w:type="auto"/>
            <w:tcBorders>
              <w:top w:val="nil"/>
              <w:left w:val="single" w:sz="4" w:space="0" w:color="auto"/>
              <w:bottom w:val="nil"/>
              <w:right w:val="nil"/>
            </w:tcBorders>
            <w:shd w:val="clear" w:color="auto" w:fill="auto"/>
            <w:noWrap/>
            <w:vAlign w:val="bottom"/>
            <w:hideMark/>
          </w:tcPr>
          <w:p w:rsidR="00B32955" w:rsidRPr="00B32955" w:rsidRDefault="00B32955" w:rsidP="00B32955">
            <w:pPr>
              <w:rPr>
                <w:b/>
                <w:bCs/>
                <w:lang w:eastAsia="da-DK"/>
              </w:rPr>
            </w:pPr>
            <w:r w:rsidRPr="00B32955">
              <w:rPr>
                <w:b/>
                <w:bCs/>
                <w:lang w:eastAsia="da-DK"/>
              </w:rPr>
              <w:t>Estimereret Kapitalværdi</w:t>
            </w:r>
          </w:p>
        </w:tc>
        <w:tc>
          <w:tcPr>
            <w:tcW w:w="0" w:type="auto"/>
            <w:tcBorders>
              <w:top w:val="nil"/>
              <w:left w:val="nil"/>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nil"/>
              <w:left w:val="nil"/>
              <w:bottom w:val="nil"/>
              <w:right w:val="single" w:sz="4" w:space="0" w:color="auto"/>
            </w:tcBorders>
            <w:shd w:val="clear" w:color="auto" w:fill="auto"/>
            <w:noWrap/>
            <w:vAlign w:val="bottom"/>
            <w:hideMark/>
          </w:tcPr>
          <w:p w:rsidR="00B32955" w:rsidRPr="00B32955" w:rsidRDefault="00B32955" w:rsidP="00B32955">
            <w:pPr>
              <w:rPr>
                <w:lang w:eastAsia="da-DK"/>
              </w:rPr>
            </w:pPr>
          </w:p>
        </w:tc>
      </w:tr>
      <w:tr w:rsidR="00B32955" w:rsidRPr="00B32955" w:rsidTr="00BE0A57">
        <w:trPr>
          <w:trHeight w:val="315"/>
        </w:trPr>
        <w:tc>
          <w:tcPr>
            <w:tcW w:w="0" w:type="auto"/>
            <w:tcBorders>
              <w:top w:val="nil"/>
              <w:left w:val="single" w:sz="4" w:space="0" w:color="auto"/>
              <w:bottom w:val="nil"/>
              <w:right w:val="nil"/>
            </w:tcBorders>
            <w:shd w:val="clear" w:color="auto" w:fill="auto"/>
            <w:noWrap/>
            <w:vAlign w:val="bottom"/>
            <w:hideMark/>
          </w:tcPr>
          <w:p w:rsidR="00B32955" w:rsidRPr="00B32955" w:rsidRDefault="00B32955" w:rsidP="00B32955">
            <w:pPr>
              <w:rPr>
                <w:lang w:eastAsia="da-DK"/>
              </w:rPr>
            </w:pPr>
            <w:r w:rsidRPr="00B32955">
              <w:rPr>
                <w:lang w:eastAsia="da-DK"/>
              </w:rPr>
              <w:t>Terminalværdi = FCF/WACC</w:t>
            </w:r>
          </w:p>
        </w:tc>
        <w:tc>
          <w:tcPr>
            <w:tcW w:w="0" w:type="auto"/>
            <w:tcBorders>
              <w:top w:val="nil"/>
              <w:left w:val="nil"/>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nil"/>
              <w:left w:val="nil"/>
              <w:bottom w:val="nil"/>
              <w:right w:val="single" w:sz="4" w:space="0" w:color="auto"/>
            </w:tcBorders>
            <w:shd w:val="clear" w:color="auto" w:fill="auto"/>
            <w:noWrap/>
            <w:vAlign w:val="bottom"/>
            <w:hideMark/>
          </w:tcPr>
          <w:p w:rsidR="00B32955" w:rsidRPr="00B32955" w:rsidRDefault="00B32955" w:rsidP="00FA0221">
            <w:pPr>
              <w:rPr>
                <w:lang w:eastAsia="da-DK"/>
              </w:rPr>
            </w:pPr>
            <w:r w:rsidRPr="00B32955">
              <w:rPr>
                <w:lang w:eastAsia="da-DK"/>
              </w:rPr>
              <w:t xml:space="preserve">      </w:t>
            </w:r>
            <w:r w:rsidR="00FA0221">
              <w:rPr>
                <w:lang w:eastAsia="da-DK"/>
              </w:rPr>
              <w:t xml:space="preserve">                              </w:t>
            </w:r>
            <w:r w:rsidR="00E51379">
              <w:rPr>
                <w:lang w:eastAsia="da-DK"/>
              </w:rPr>
              <w:t xml:space="preserve"> </w:t>
            </w:r>
            <w:r w:rsidR="00FA0221">
              <w:rPr>
                <w:lang w:eastAsia="da-DK"/>
              </w:rPr>
              <w:t>13</w:t>
            </w:r>
            <w:r w:rsidRPr="00B32955">
              <w:rPr>
                <w:lang w:eastAsia="da-DK"/>
              </w:rPr>
              <w:t>.</w:t>
            </w:r>
            <w:r w:rsidR="00FA0221">
              <w:rPr>
                <w:lang w:eastAsia="da-DK"/>
              </w:rPr>
              <w:t>072</w:t>
            </w:r>
            <w:r w:rsidRPr="00B32955">
              <w:rPr>
                <w:lang w:eastAsia="da-DK"/>
              </w:rPr>
              <w:t xml:space="preserve"> </w:t>
            </w:r>
          </w:p>
        </w:tc>
      </w:tr>
      <w:tr w:rsidR="00B32955" w:rsidRPr="00B32955" w:rsidTr="00BE0A57">
        <w:trPr>
          <w:trHeight w:val="315"/>
        </w:trPr>
        <w:tc>
          <w:tcPr>
            <w:tcW w:w="0" w:type="auto"/>
            <w:tcBorders>
              <w:top w:val="nil"/>
              <w:left w:val="single" w:sz="4" w:space="0" w:color="auto"/>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nil"/>
              <w:left w:val="nil"/>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nil"/>
              <w:left w:val="nil"/>
              <w:bottom w:val="nil"/>
              <w:right w:val="single" w:sz="4" w:space="0" w:color="auto"/>
            </w:tcBorders>
            <w:shd w:val="clear" w:color="auto" w:fill="auto"/>
            <w:noWrap/>
            <w:vAlign w:val="bottom"/>
            <w:hideMark/>
          </w:tcPr>
          <w:p w:rsidR="00B32955" w:rsidRPr="00B32955" w:rsidRDefault="00B32955" w:rsidP="00B32955">
            <w:pPr>
              <w:rPr>
                <w:lang w:eastAsia="da-DK"/>
              </w:rPr>
            </w:pPr>
          </w:p>
        </w:tc>
      </w:tr>
      <w:tr w:rsidR="00B32955" w:rsidRPr="00B32955" w:rsidTr="00BE0A57">
        <w:trPr>
          <w:trHeight w:val="330"/>
        </w:trPr>
        <w:tc>
          <w:tcPr>
            <w:tcW w:w="0" w:type="auto"/>
            <w:tcBorders>
              <w:top w:val="nil"/>
              <w:left w:val="single" w:sz="4" w:space="0" w:color="auto"/>
              <w:bottom w:val="nil"/>
              <w:right w:val="nil"/>
            </w:tcBorders>
            <w:shd w:val="clear" w:color="auto" w:fill="auto"/>
            <w:noWrap/>
            <w:vAlign w:val="bottom"/>
            <w:hideMark/>
          </w:tcPr>
          <w:p w:rsidR="00B32955" w:rsidRPr="00B32955" w:rsidRDefault="003A2F0C" w:rsidP="003A2F0C">
            <w:pPr>
              <w:rPr>
                <w:lang w:eastAsia="da-DK"/>
              </w:rPr>
            </w:pPr>
            <w:r>
              <w:rPr>
                <w:lang w:eastAsia="da-DK"/>
              </w:rPr>
              <w:t>Nutidsværdien</w:t>
            </w:r>
            <w:r w:rsidR="00B32955" w:rsidRPr="00B32955">
              <w:rPr>
                <w:lang w:eastAsia="da-DK"/>
              </w:rPr>
              <w:t xml:space="preserve"> af terminalværdien </w:t>
            </w:r>
          </w:p>
        </w:tc>
        <w:tc>
          <w:tcPr>
            <w:tcW w:w="0" w:type="auto"/>
            <w:tcBorders>
              <w:top w:val="nil"/>
              <w:left w:val="nil"/>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nil"/>
              <w:left w:val="nil"/>
              <w:bottom w:val="nil"/>
              <w:right w:val="single" w:sz="4" w:space="0" w:color="auto"/>
            </w:tcBorders>
            <w:shd w:val="clear" w:color="auto" w:fill="auto"/>
            <w:noWrap/>
            <w:vAlign w:val="bottom"/>
            <w:hideMark/>
          </w:tcPr>
          <w:p w:rsidR="00B32955" w:rsidRPr="00B32955" w:rsidRDefault="00B32955" w:rsidP="00FA0221">
            <w:pPr>
              <w:rPr>
                <w:lang w:eastAsia="da-DK"/>
              </w:rPr>
            </w:pPr>
            <w:r w:rsidRPr="00B32955">
              <w:rPr>
                <w:lang w:eastAsia="da-DK"/>
              </w:rPr>
              <w:t xml:space="preserve">      </w:t>
            </w:r>
            <w:r w:rsidR="00FA0221">
              <w:rPr>
                <w:lang w:eastAsia="da-DK"/>
              </w:rPr>
              <w:t xml:space="preserve">                               </w:t>
            </w:r>
            <w:r w:rsidR="00E51379">
              <w:rPr>
                <w:lang w:eastAsia="da-DK"/>
              </w:rPr>
              <w:t xml:space="preserve"> </w:t>
            </w:r>
            <w:r w:rsidR="00FA0221">
              <w:rPr>
                <w:lang w:eastAsia="da-DK"/>
              </w:rPr>
              <w:t xml:space="preserve"> 9</w:t>
            </w:r>
            <w:r w:rsidRPr="00B32955">
              <w:rPr>
                <w:lang w:eastAsia="da-DK"/>
              </w:rPr>
              <w:t>.04</w:t>
            </w:r>
            <w:r w:rsidR="00FA0221">
              <w:rPr>
                <w:lang w:eastAsia="da-DK"/>
              </w:rPr>
              <w:t>2</w:t>
            </w:r>
            <w:r w:rsidRPr="00B32955">
              <w:rPr>
                <w:lang w:eastAsia="da-DK"/>
              </w:rPr>
              <w:t xml:space="preserve"> </w:t>
            </w:r>
          </w:p>
        </w:tc>
      </w:tr>
      <w:tr w:rsidR="00B32955" w:rsidRPr="00B32955" w:rsidTr="00BE0A57">
        <w:trPr>
          <w:trHeight w:val="315"/>
        </w:trPr>
        <w:tc>
          <w:tcPr>
            <w:tcW w:w="0" w:type="auto"/>
            <w:tcBorders>
              <w:top w:val="nil"/>
              <w:left w:val="single" w:sz="4" w:space="0" w:color="auto"/>
              <w:bottom w:val="nil"/>
              <w:right w:val="nil"/>
            </w:tcBorders>
            <w:shd w:val="clear" w:color="auto" w:fill="auto"/>
            <w:noWrap/>
            <w:vAlign w:val="bottom"/>
            <w:hideMark/>
          </w:tcPr>
          <w:p w:rsidR="000B1A86" w:rsidRDefault="002559A0" w:rsidP="003A2F0C">
            <w:pPr>
              <w:rPr>
                <w:lang w:eastAsia="da-DK"/>
              </w:rPr>
            </w:pPr>
            <w:r>
              <w:rPr>
                <w:lang w:eastAsia="da-DK"/>
              </w:rPr>
              <w:t>(13.072*</w:t>
            </w:r>
            <w:r w:rsidR="00FA0221">
              <w:rPr>
                <w:lang w:eastAsia="da-DK"/>
              </w:rPr>
              <w:t>0,69171)</w:t>
            </w:r>
          </w:p>
          <w:p w:rsidR="00B32955" w:rsidRPr="00B32955" w:rsidRDefault="003A2F0C" w:rsidP="003A2F0C">
            <w:pPr>
              <w:rPr>
                <w:lang w:eastAsia="da-DK"/>
              </w:rPr>
            </w:pPr>
            <w:r>
              <w:rPr>
                <w:lang w:eastAsia="da-DK"/>
              </w:rPr>
              <w:t xml:space="preserve">Nutidsværdien </w:t>
            </w:r>
            <w:r w:rsidR="00B32955" w:rsidRPr="00B32955">
              <w:rPr>
                <w:lang w:eastAsia="da-DK"/>
              </w:rPr>
              <w:t xml:space="preserve">af det frie </w:t>
            </w:r>
            <w:proofErr w:type="spellStart"/>
            <w:r w:rsidR="00B32955" w:rsidRPr="00B32955">
              <w:rPr>
                <w:lang w:eastAsia="da-DK"/>
              </w:rPr>
              <w:t>cash</w:t>
            </w:r>
            <w:proofErr w:type="spellEnd"/>
            <w:r w:rsidR="00B32955" w:rsidRPr="00B32955">
              <w:rPr>
                <w:lang w:eastAsia="da-DK"/>
              </w:rPr>
              <w:t xml:space="preserve"> flow.</w:t>
            </w:r>
          </w:p>
        </w:tc>
        <w:tc>
          <w:tcPr>
            <w:tcW w:w="0" w:type="auto"/>
            <w:tcBorders>
              <w:top w:val="nil"/>
              <w:left w:val="nil"/>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nil"/>
              <w:left w:val="nil"/>
              <w:bottom w:val="nil"/>
              <w:right w:val="single" w:sz="4" w:space="0" w:color="auto"/>
            </w:tcBorders>
            <w:shd w:val="clear" w:color="auto" w:fill="auto"/>
            <w:noWrap/>
            <w:vAlign w:val="bottom"/>
            <w:hideMark/>
          </w:tcPr>
          <w:p w:rsidR="00B32955" w:rsidRPr="00B32955" w:rsidRDefault="00B32955" w:rsidP="00B32955">
            <w:pPr>
              <w:rPr>
                <w:lang w:eastAsia="da-DK"/>
              </w:rPr>
            </w:pPr>
            <w:r w:rsidRPr="00B32955">
              <w:rPr>
                <w:lang w:eastAsia="da-DK"/>
              </w:rPr>
              <w:t xml:space="preserve">                                      </w:t>
            </w:r>
            <w:r w:rsidR="00E51379">
              <w:rPr>
                <w:lang w:eastAsia="da-DK"/>
              </w:rPr>
              <w:t xml:space="preserve"> </w:t>
            </w:r>
            <w:r w:rsidRPr="00B32955">
              <w:rPr>
                <w:lang w:eastAsia="da-DK"/>
              </w:rPr>
              <w:t xml:space="preserve">4.405 </w:t>
            </w:r>
          </w:p>
        </w:tc>
      </w:tr>
      <w:tr w:rsidR="00B32955" w:rsidRPr="00B32955" w:rsidTr="00BE0A57">
        <w:trPr>
          <w:trHeight w:val="315"/>
        </w:trPr>
        <w:tc>
          <w:tcPr>
            <w:tcW w:w="0" w:type="auto"/>
            <w:tcBorders>
              <w:top w:val="nil"/>
              <w:left w:val="single" w:sz="4" w:space="0" w:color="auto"/>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nil"/>
              <w:left w:val="nil"/>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nil"/>
              <w:left w:val="nil"/>
              <w:bottom w:val="nil"/>
              <w:right w:val="single" w:sz="4" w:space="0" w:color="auto"/>
            </w:tcBorders>
            <w:shd w:val="clear" w:color="auto" w:fill="auto"/>
            <w:noWrap/>
            <w:vAlign w:val="bottom"/>
            <w:hideMark/>
          </w:tcPr>
          <w:p w:rsidR="00B32955" w:rsidRPr="00B32955" w:rsidRDefault="00B32955" w:rsidP="003A2F0C">
            <w:pPr>
              <w:rPr>
                <w:lang w:eastAsia="da-DK"/>
              </w:rPr>
            </w:pPr>
            <w:r w:rsidRPr="00B32955">
              <w:rPr>
                <w:lang w:eastAsia="da-DK"/>
              </w:rPr>
              <w:t xml:space="preserve">                                     </w:t>
            </w:r>
          </w:p>
        </w:tc>
      </w:tr>
      <w:tr w:rsidR="00B32955" w:rsidRPr="00B32955" w:rsidTr="00BE0A57">
        <w:trPr>
          <w:trHeight w:val="315"/>
        </w:trPr>
        <w:tc>
          <w:tcPr>
            <w:tcW w:w="0" w:type="auto"/>
            <w:tcBorders>
              <w:top w:val="nil"/>
              <w:left w:val="single" w:sz="4" w:space="0" w:color="auto"/>
              <w:bottom w:val="nil"/>
              <w:right w:val="nil"/>
            </w:tcBorders>
            <w:shd w:val="clear" w:color="auto" w:fill="auto"/>
            <w:noWrap/>
            <w:vAlign w:val="bottom"/>
            <w:hideMark/>
          </w:tcPr>
          <w:p w:rsidR="00B32955" w:rsidRPr="00B32955" w:rsidRDefault="00B32955" w:rsidP="00B32955">
            <w:pPr>
              <w:rPr>
                <w:lang w:eastAsia="da-DK"/>
              </w:rPr>
            </w:pPr>
            <w:r w:rsidRPr="00B32955">
              <w:rPr>
                <w:lang w:eastAsia="da-DK"/>
              </w:rPr>
              <w:t>+ Værdipapirer og likvider</w:t>
            </w:r>
          </w:p>
        </w:tc>
        <w:tc>
          <w:tcPr>
            <w:tcW w:w="0" w:type="auto"/>
            <w:tcBorders>
              <w:top w:val="nil"/>
              <w:left w:val="nil"/>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nil"/>
              <w:left w:val="nil"/>
              <w:bottom w:val="nil"/>
              <w:right w:val="single" w:sz="4" w:space="0" w:color="auto"/>
            </w:tcBorders>
            <w:shd w:val="clear" w:color="000000" w:fill="FFFF00"/>
            <w:noWrap/>
            <w:vAlign w:val="bottom"/>
            <w:hideMark/>
          </w:tcPr>
          <w:p w:rsidR="00B32955" w:rsidRPr="00B32955" w:rsidRDefault="00B32955" w:rsidP="00B32955">
            <w:pPr>
              <w:rPr>
                <w:lang w:eastAsia="da-DK"/>
              </w:rPr>
            </w:pPr>
            <w:r w:rsidRPr="00B32955">
              <w:rPr>
                <w:lang w:eastAsia="da-DK"/>
              </w:rPr>
              <w:t xml:space="preserve">                                            67 </w:t>
            </w:r>
          </w:p>
        </w:tc>
      </w:tr>
      <w:tr w:rsidR="00B32955" w:rsidRPr="00B32955" w:rsidTr="00BE0A57">
        <w:trPr>
          <w:trHeight w:val="330"/>
        </w:trPr>
        <w:tc>
          <w:tcPr>
            <w:tcW w:w="0" w:type="auto"/>
            <w:tcBorders>
              <w:top w:val="single" w:sz="4" w:space="0" w:color="auto"/>
              <w:left w:val="single" w:sz="4" w:space="0" w:color="auto"/>
              <w:bottom w:val="double" w:sz="6" w:space="0" w:color="auto"/>
              <w:right w:val="nil"/>
            </w:tcBorders>
            <w:shd w:val="clear" w:color="auto" w:fill="auto"/>
            <w:noWrap/>
            <w:vAlign w:val="bottom"/>
            <w:hideMark/>
          </w:tcPr>
          <w:p w:rsidR="00B32955" w:rsidRPr="00B32955" w:rsidRDefault="00B32955" w:rsidP="00B32955">
            <w:pPr>
              <w:rPr>
                <w:lang w:eastAsia="da-DK"/>
              </w:rPr>
            </w:pPr>
            <w:r w:rsidRPr="00B32955">
              <w:rPr>
                <w:lang w:eastAsia="da-DK"/>
              </w:rPr>
              <w:t>Koncern værdi</w:t>
            </w:r>
          </w:p>
        </w:tc>
        <w:tc>
          <w:tcPr>
            <w:tcW w:w="0" w:type="auto"/>
            <w:tcBorders>
              <w:top w:val="single" w:sz="4" w:space="0" w:color="auto"/>
              <w:left w:val="nil"/>
              <w:bottom w:val="double" w:sz="6" w:space="0" w:color="auto"/>
              <w:right w:val="nil"/>
            </w:tcBorders>
            <w:shd w:val="clear" w:color="auto" w:fill="auto"/>
            <w:noWrap/>
            <w:vAlign w:val="bottom"/>
            <w:hideMark/>
          </w:tcPr>
          <w:p w:rsidR="00B32955" w:rsidRPr="00B32955" w:rsidRDefault="00B32955" w:rsidP="00B32955">
            <w:pPr>
              <w:rPr>
                <w:lang w:eastAsia="da-DK"/>
              </w:rPr>
            </w:pPr>
            <w:r w:rsidRPr="00B32955">
              <w:rPr>
                <w:lang w:eastAsia="da-DK"/>
              </w:rPr>
              <w:t> </w:t>
            </w:r>
          </w:p>
        </w:tc>
        <w:tc>
          <w:tcPr>
            <w:tcW w:w="0" w:type="auto"/>
            <w:tcBorders>
              <w:top w:val="single" w:sz="4" w:space="0" w:color="auto"/>
              <w:left w:val="nil"/>
              <w:bottom w:val="double" w:sz="6" w:space="0" w:color="auto"/>
              <w:right w:val="single" w:sz="4" w:space="0" w:color="auto"/>
            </w:tcBorders>
            <w:shd w:val="clear" w:color="auto" w:fill="auto"/>
            <w:noWrap/>
            <w:vAlign w:val="bottom"/>
            <w:hideMark/>
          </w:tcPr>
          <w:p w:rsidR="00B32955" w:rsidRPr="00B32955" w:rsidRDefault="00B32955" w:rsidP="00FA0221">
            <w:pPr>
              <w:rPr>
                <w:lang w:eastAsia="da-DK"/>
              </w:rPr>
            </w:pPr>
            <w:r w:rsidRPr="00B32955">
              <w:rPr>
                <w:lang w:eastAsia="da-DK"/>
              </w:rPr>
              <w:t xml:space="preserve">                                    </w:t>
            </w:r>
            <w:r w:rsidR="00E51379">
              <w:rPr>
                <w:lang w:eastAsia="da-DK"/>
              </w:rPr>
              <w:t xml:space="preserve"> </w:t>
            </w:r>
            <w:r w:rsidR="00FA0221">
              <w:rPr>
                <w:lang w:eastAsia="da-DK"/>
              </w:rPr>
              <w:t>13</w:t>
            </w:r>
            <w:r w:rsidRPr="00B32955">
              <w:rPr>
                <w:lang w:eastAsia="da-DK"/>
              </w:rPr>
              <w:t>.51</w:t>
            </w:r>
            <w:r w:rsidR="00FA0221">
              <w:rPr>
                <w:lang w:eastAsia="da-DK"/>
              </w:rPr>
              <w:t>4</w:t>
            </w:r>
            <w:r w:rsidRPr="00B32955">
              <w:rPr>
                <w:lang w:eastAsia="da-DK"/>
              </w:rPr>
              <w:t xml:space="preserve"> </w:t>
            </w:r>
          </w:p>
        </w:tc>
      </w:tr>
      <w:tr w:rsidR="00B32955" w:rsidRPr="00B32955" w:rsidTr="00BE0A57">
        <w:trPr>
          <w:trHeight w:val="330"/>
        </w:trPr>
        <w:tc>
          <w:tcPr>
            <w:tcW w:w="0" w:type="auto"/>
            <w:tcBorders>
              <w:top w:val="nil"/>
              <w:left w:val="single" w:sz="4" w:space="0" w:color="auto"/>
              <w:bottom w:val="nil"/>
              <w:right w:val="nil"/>
            </w:tcBorders>
            <w:shd w:val="clear" w:color="auto" w:fill="auto"/>
            <w:noWrap/>
            <w:vAlign w:val="bottom"/>
            <w:hideMark/>
          </w:tcPr>
          <w:p w:rsidR="00B32955" w:rsidRPr="00B32955" w:rsidRDefault="00B32955" w:rsidP="00B32955">
            <w:pPr>
              <w:rPr>
                <w:lang w:eastAsia="da-DK"/>
              </w:rPr>
            </w:pPr>
            <w:r w:rsidRPr="00B32955">
              <w:rPr>
                <w:lang w:eastAsia="da-DK"/>
              </w:rPr>
              <w:t xml:space="preserve"> -Gæld til markedsværdi</w:t>
            </w:r>
          </w:p>
        </w:tc>
        <w:tc>
          <w:tcPr>
            <w:tcW w:w="0" w:type="auto"/>
            <w:tcBorders>
              <w:top w:val="nil"/>
              <w:left w:val="nil"/>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nil"/>
              <w:left w:val="nil"/>
              <w:bottom w:val="nil"/>
              <w:right w:val="single" w:sz="4" w:space="0" w:color="auto"/>
            </w:tcBorders>
            <w:shd w:val="clear" w:color="000000" w:fill="FFFF00"/>
            <w:noWrap/>
            <w:vAlign w:val="bottom"/>
            <w:hideMark/>
          </w:tcPr>
          <w:p w:rsidR="00B32955" w:rsidRPr="00B32955" w:rsidRDefault="00B32955" w:rsidP="000B1A86">
            <w:pPr>
              <w:rPr>
                <w:lang w:eastAsia="da-DK"/>
              </w:rPr>
            </w:pPr>
            <w:r w:rsidRPr="00B32955">
              <w:rPr>
                <w:lang w:eastAsia="da-DK"/>
              </w:rPr>
              <w:t xml:space="preserve">           </w:t>
            </w:r>
            <w:r w:rsidR="000B1A86">
              <w:rPr>
                <w:lang w:eastAsia="da-DK"/>
              </w:rPr>
              <w:t xml:space="preserve">                            2</w:t>
            </w:r>
            <w:r w:rsidR="00E51379">
              <w:rPr>
                <w:lang w:eastAsia="da-DK"/>
              </w:rPr>
              <w:t>.</w:t>
            </w:r>
            <w:r w:rsidR="000B1A86">
              <w:rPr>
                <w:lang w:eastAsia="da-DK"/>
              </w:rPr>
              <w:t>640</w:t>
            </w:r>
            <w:r w:rsidRPr="00B32955">
              <w:rPr>
                <w:lang w:eastAsia="da-DK"/>
              </w:rPr>
              <w:t xml:space="preserve"> </w:t>
            </w:r>
          </w:p>
        </w:tc>
      </w:tr>
      <w:tr w:rsidR="00B32955" w:rsidRPr="00B32955" w:rsidTr="00BE0A57">
        <w:trPr>
          <w:trHeight w:val="330"/>
        </w:trPr>
        <w:tc>
          <w:tcPr>
            <w:tcW w:w="0" w:type="auto"/>
            <w:tcBorders>
              <w:top w:val="single" w:sz="4" w:space="0" w:color="auto"/>
              <w:left w:val="single" w:sz="4" w:space="0" w:color="auto"/>
              <w:bottom w:val="double" w:sz="6" w:space="0" w:color="auto"/>
              <w:right w:val="nil"/>
            </w:tcBorders>
            <w:shd w:val="clear" w:color="auto" w:fill="auto"/>
            <w:noWrap/>
            <w:vAlign w:val="bottom"/>
            <w:hideMark/>
          </w:tcPr>
          <w:p w:rsidR="00B32955" w:rsidRPr="00B32955" w:rsidRDefault="00B32955" w:rsidP="00B32955">
            <w:pPr>
              <w:rPr>
                <w:lang w:eastAsia="da-DK"/>
              </w:rPr>
            </w:pPr>
            <w:r w:rsidRPr="00B32955">
              <w:rPr>
                <w:lang w:eastAsia="da-DK"/>
              </w:rPr>
              <w:t>Kapitalværdi af egenkapital</w:t>
            </w:r>
          </w:p>
        </w:tc>
        <w:tc>
          <w:tcPr>
            <w:tcW w:w="0" w:type="auto"/>
            <w:tcBorders>
              <w:top w:val="single" w:sz="4" w:space="0" w:color="auto"/>
              <w:left w:val="nil"/>
              <w:bottom w:val="double" w:sz="6" w:space="0" w:color="auto"/>
              <w:right w:val="nil"/>
            </w:tcBorders>
            <w:shd w:val="clear" w:color="auto" w:fill="auto"/>
            <w:noWrap/>
            <w:vAlign w:val="bottom"/>
            <w:hideMark/>
          </w:tcPr>
          <w:p w:rsidR="00B32955" w:rsidRPr="00B32955" w:rsidRDefault="00B32955" w:rsidP="00B32955">
            <w:pPr>
              <w:rPr>
                <w:lang w:eastAsia="da-DK"/>
              </w:rPr>
            </w:pPr>
            <w:r w:rsidRPr="00B32955">
              <w:rPr>
                <w:lang w:eastAsia="da-DK"/>
              </w:rPr>
              <w:t> </w:t>
            </w:r>
          </w:p>
        </w:tc>
        <w:tc>
          <w:tcPr>
            <w:tcW w:w="0" w:type="auto"/>
            <w:tcBorders>
              <w:top w:val="single" w:sz="4" w:space="0" w:color="auto"/>
              <w:left w:val="nil"/>
              <w:bottom w:val="double" w:sz="6" w:space="0" w:color="auto"/>
              <w:right w:val="single" w:sz="4" w:space="0" w:color="auto"/>
            </w:tcBorders>
            <w:shd w:val="clear" w:color="auto" w:fill="auto"/>
            <w:noWrap/>
            <w:vAlign w:val="bottom"/>
            <w:hideMark/>
          </w:tcPr>
          <w:p w:rsidR="00B32955" w:rsidRPr="00B32955" w:rsidRDefault="00B32955" w:rsidP="00B32955">
            <w:pPr>
              <w:rPr>
                <w:lang w:eastAsia="da-DK"/>
              </w:rPr>
            </w:pPr>
            <w:r w:rsidRPr="00B32955">
              <w:rPr>
                <w:lang w:eastAsia="da-DK"/>
              </w:rPr>
              <w:t xml:space="preserve">                                    </w:t>
            </w:r>
            <w:r w:rsidR="00E51379">
              <w:rPr>
                <w:lang w:eastAsia="da-DK"/>
              </w:rPr>
              <w:t xml:space="preserve"> 10.874</w:t>
            </w:r>
            <w:r w:rsidRPr="00B32955">
              <w:rPr>
                <w:lang w:eastAsia="da-DK"/>
              </w:rPr>
              <w:t xml:space="preserve"> </w:t>
            </w:r>
          </w:p>
        </w:tc>
      </w:tr>
      <w:tr w:rsidR="00B32955" w:rsidRPr="00B32955" w:rsidTr="00BE0A57">
        <w:trPr>
          <w:trHeight w:val="330"/>
        </w:trPr>
        <w:tc>
          <w:tcPr>
            <w:tcW w:w="0" w:type="auto"/>
            <w:tcBorders>
              <w:top w:val="nil"/>
              <w:left w:val="single" w:sz="4" w:space="0" w:color="auto"/>
              <w:bottom w:val="nil"/>
              <w:right w:val="nil"/>
            </w:tcBorders>
            <w:shd w:val="clear" w:color="auto" w:fill="auto"/>
            <w:noWrap/>
            <w:vAlign w:val="bottom"/>
            <w:hideMark/>
          </w:tcPr>
          <w:p w:rsidR="00B32955" w:rsidRPr="00B32955" w:rsidRDefault="00B32955" w:rsidP="00B32955">
            <w:pPr>
              <w:rPr>
                <w:lang w:eastAsia="da-DK"/>
              </w:rPr>
            </w:pPr>
            <w:r w:rsidRPr="00B32955">
              <w:rPr>
                <w:lang w:eastAsia="da-DK"/>
              </w:rPr>
              <w:t>Antal aktier</w:t>
            </w:r>
          </w:p>
        </w:tc>
        <w:tc>
          <w:tcPr>
            <w:tcW w:w="0" w:type="auto"/>
            <w:tcBorders>
              <w:top w:val="nil"/>
              <w:left w:val="nil"/>
              <w:bottom w:val="nil"/>
              <w:right w:val="nil"/>
            </w:tcBorders>
            <w:shd w:val="clear" w:color="auto" w:fill="auto"/>
            <w:noWrap/>
            <w:vAlign w:val="bottom"/>
            <w:hideMark/>
          </w:tcPr>
          <w:p w:rsidR="00B32955" w:rsidRPr="00B32955" w:rsidRDefault="00B32955" w:rsidP="00B32955">
            <w:pPr>
              <w:rPr>
                <w:lang w:eastAsia="da-DK"/>
              </w:rPr>
            </w:pPr>
          </w:p>
        </w:tc>
        <w:tc>
          <w:tcPr>
            <w:tcW w:w="0" w:type="auto"/>
            <w:tcBorders>
              <w:top w:val="nil"/>
              <w:left w:val="nil"/>
              <w:bottom w:val="nil"/>
              <w:right w:val="single" w:sz="4" w:space="0" w:color="auto"/>
            </w:tcBorders>
            <w:shd w:val="clear" w:color="000000" w:fill="FFFF00"/>
            <w:noWrap/>
            <w:vAlign w:val="bottom"/>
            <w:hideMark/>
          </w:tcPr>
          <w:p w:rsidR="00B32955" w:rsidRPr="00B32955" w:rsidRDefault="00B32955" w:rsidP="00B32955">
            <w:pPr>
              <w:rPr>
                <w:lang w:eastAsia="da-DK"/>
              </w:rPr>
            </w:pPr>
            <w:r w:rsidRPr="00B32955">
              <w:rPr>
                <w:lang w:eastAsia="da-DK"/>
              </w:rPr>
              <w:t xml:space="preserve">                                    </w:t>
            </w:r>
            <w:r w:rsidR="00E51379">
              <w:rPr>
                <w:lang w:eastAsia="da-DK"/>
              </w:rPr>
              <w:t xml:space="preserve"> </w:t>
            </w:r>
            <w:r w:rsidRPr="00B32955">
              <w:rPr>
                <w:lang w:eastAsia="da-DK"/>
              </w:rPr>
              <w:t xml:space="preserve">130,14 </w:t>
            </w:r>
          </w:p>
        </w:tc>
      </w:tr>
      <w:tr w:rsidR="00B32955" w:rsidRPr="00B32955" w:rsidTr="00BE0A57">
        <w:trPr>
          <w:trHeight w:val="330"/>
        </w:trPr>
        <w:tc>
          <w:tcPr>
            <w:tcW w:w="0" w:type="auto"/>
            <w:tcBorders>
              <w:top w:val="nil"/>
              <w:left w:val="single" w:sz="4" w:space="0" w:color="auto"/>
              <w:bottom w:val="single" w:sz="4" w:space="0" w:color="auto"/>
              <w:right w:val="nil"/>
            </w:tcBorders>
            <w:shd w:val="clear" w:color="auto" w:fill="auto"/>
            <w:noWrap/>
            <w:vAlign w:val="bottom"/>
            <w:hideMark/>
          </w:tcPr>
          <w:p w:rsidR="00B32955" w:rsidRPr="00B32955" w:rsidRDefault="003A2F0C" w:rsidP="00E51379">
            <w:pPr>
              <w:rPr>
                <w:lang w:eastAsia="da-DK"/>
              </w:rPr>
            </w:pPr>
            <w:r>
              <w:rPr>
                <w:lang w:eastAsia="da-DK"/>
              </w:rPr>
              <w:t xml:space="preserve">Værdi pr aktie </w:t>
            </w:r>
            <w:r w:rsidR="00E51379">
              <w:rPr>
                <w:lang w:eastAsia="da-DK"/>
              </w:rPr>
              <w:t>10</w:t>
            </w:r>
            <w:r>
              <w:rPr>
                <w:lang w:eastAsia="da-DK"/>
              </w:rPr>
              <w:t>.</w:t>
            </w:r>
            <w:r w:rsidR="00E51379">
              <w:rPr>
                <w:lang w:eastAsia="da-DK"/>
              </w:rPr>
              <w:t>874</w:t>
            </w:r>
            <w:r w:rsidR="00B32955" w:rsidRPr="00B32955">
              <w:rPr>
                <w:lang w:eastAsia="da-DK"/>
              </w:rPr>
              <w:t>/130,14</w:t>
            </w:r>
          </w:p>
        </w:tc>
        <w:tc>
          <w:tcPr>
            <w:tcW w:w="0" w:type="auto"/>
            <w:tcBorders>
              <w:top w:val="nil"/>
              <w:left w:val="nil"/>
              <w:bottom w:val="single" w:sz="4" w:space="0" w:color="auto"/>
              <w:right w:val="nil"/>
            </w:tcBorders>
            <w:shd w:val="clear" w:color="auto" w:fill="auto"/>
            <w:noWrap/>
            <w:vAlign w:val="bottom"/>
            <w:hideMark/>
          </w:tcPr>
          <w:p w:rsidR="00B32955" w:rsidRPr="00B32955" w:rsidRDefault="00B32955" w:rsidP="00B32955">
            <w:pPr>
              <w:rPr>
                <w:lang w:eastAsia="da-DK"/>
              </w:rPr>
            </w:pPr>
            <w:r w:rsidRPr="00B32955">
              <w:rPr>
                <w:lang w:eastAsia="da-DK"/>
              </w:rPr>
              <w:t> </w:t>
            </w:r>
          </w:p>
        </w:tc>
        <w:tc>
          <w:tcPr>
            <w:tcW w:w="0" w:type="auto"/>
            <w:tcBorders>
              <w:top w:val="nil"/>
              <w:left w:val="nil"/>
              <w:bottom w:val="single" w:sz="4" w:space="0" w:color="auto"/>
              <w:right w:val="single" w:sz="4" w:space="0" w:color="auto"/>
            </w:tcBorders>
            <w:shd w:val="clear" w:color="auto" w:fill="auto"/>
            <w:noWrap/>
            <w:vAlign w:val="bottom"/>
            <w:hideMark/>
          </w:tcPr>
          <w:p w:rsidR="00B32955" w:rsidRPr="00B32955" w:rsidRDefault="00B32955" w:rsidP="00B32955">
            <w:pPr>
              <w:rPr>
                <w:lang w:eastAsia="da-DK"/>
              </w:rPr>
            </w:pPr>
            <w:r w:rsidRPr="00B32955">
              <w:rPr>
                <w:lang w:eastAsia="da-DK"/>
              </w:rPr>
              <w:t xml:space="preserve">                                    </w:t>
            </w:r>
            <w:r w:rsidR="00E51379">
              <w:rPr>
                <w:lang w:eastAsia="da-DK"/>
              </w:rPr>
              <w:t xml:space="preserve">   83,56</w:t>
            </w:r>
            <w:r w:rsidRPr="00B32955">
              <w:rPr>
                <w:lang w:eastAsia="da-DK"/>
              </w:rPr>
              <w:t xml:space="preserve"> </w:t>
            </w:r>
          </w:p>
        </w:tc>
      </w:tr>
    </w:tbl>
    <w:p w:rsidR="00080376" w:rsidRDefault="00080376" w:rsidP="00080376">
      <w:pPr>
        <w:rPr>
          <w:szCs w:val="24"/>
        </w:rPr>
      </w:pPr>
    </w:p>
    <w:p w:rsidR="009F0097" w:rsidRPr="004E2A86" w:rsidRDefault="004E2A86" w:rsidP="004E2A86">
      <w:pPr>
        <w:pStyle w:val="Overskrift1"/>
      </w:pPr>
      <w:bookmarkStart w:id="14" w:name="_Toc351290071"/>
      <w:r w:rsidRPr="004E2A86">
        <w:t xml:space="preserve">8.0 </w:t>
      </w:r>
      <w:r w:rsidR="009F0097" w:rsidRPr="004E2A86">
        <w:t>Konklusion</w:t>
      </w:r>
      <w:bookmarkEnd w:id="14"/>
    </w:p>
    <w:p w:rsidR="00080376" w:rsidRPr="004E4007" w:rsidRDefault="00080376" w:rsidP="00080376">
      <w:pPr>
        <w:rPr>
          <w:szCs w:val="24"/>
        </w:rPr>
      </w:pPr>
      <w:r w:rsidRPr="004E4007">
        <w:rPr>
          <w:szCs w:val="24"/>
        </w:rPr>
        <w:t xml:space="preserve">Egenkapitalens kapitalværdi er beregnet til </w:t>
      </w:r>
      <w:r w:rsidR="00E51379">
        <w:rPr>
          <w:szCs w:val="24"/>
        </w:rPr>
        <w:t>10.874</w:t>
      </w:r>
      <w:r w:rsidRPr="004E4007">
        <w:t>mio</w:t>
      </w:r>
      <w:r w:rsidRPr="004E4007">
        <w:rPr>
          <w:szCs w:val="24"/>
        </w:rPr>
        <w:t xml:space="preserve">. </w:t>
      </w:r>
      <w:r w:rsidR="00DD4B79" w:rsidRPr="004E4007">
        <w:rPr>
          <w:szCs w:val="24"/>
        </w:rPr>
        <w:t>kr.</w:t>
      </w:r>
      <w:r w:rsidRPr="004E4007">
        <w:rPr>
          <w:szCs w:val="24"/>
        </w:rPr>
        <w:t>, som er værdien af virksomheden pr. 10-09-2012</w:t>
      </w:r>
      <w:r w:rsidR="0056076E">
        <w:rPr>
          <w:szCs w:val="24"/>
        </w:rPr>
        <w:t xml:space="preserve"> ud fra DCF-modellen</w:t>
      </w:r>
      <w:r w:rsidRPr="004E4007">
        <w:rPr>
          <w:szCs w:val="24"/>
        </w:rPr>
        <w:t>.</w:t>
      </w:r>
    </w:p>
    <w:p w:rsidR="0056076E" w:rsidRDefault="00080376" w:rsidP="00080376">
      <w:pPr>
        <w:rPr>
          <w:szCs w:val="24"/>
        </w:rPr>
      </w:pPr>
      <w:r w:rsidRPr="004E4007">
        <w:rPr>
          <w:szCs w:val="24"/>
        </w:rPr>
        <w:t xml:space="preserve">Værdien af virksomheden deles ud på 130.143.258 </w:t>
      </w:r>
      <w:r w:rsidR="00DD4B79" w:rsidRPr="004E4007">
        <w:rPr>
          <w:szCs w:val="24"/>
        </w:rPr>
        <w:t>stk.</w:t>
      </w:r>
      <w:r w:rsidRPr="004E4007">
        <w:rPr>
          <w:szCs w:val="24"/>
        </w:rPr>
        <w:t xml:space="preserve"> akt</w:t>
      </w:r>
      <w:r w:rsidR="00BE0A57">
        <w:rPr>
          <w:szCs w:val="24"/>
        </w:rPr>
        <w:t xml:space="preserve">ier, kursværdien </w:t>
      </w:r>
      <w:r w:rsidR="0056076E">
        <w:rPr>
          <w:szCs w:val="24"/>
        </w:rPr>
        <w:t xml:space="preserve">bør </w:t>
      </w:r>
      <w:r w:rsidR="00BE0A57">
        <w:rPr>
          <w:szCs w:val="24"/>
        </w:rPr>
        <w:t>derefter</w:t>
      </w:r>
      <w:r w:rsidR="0056076E">
        <w:rPr>
          <w:szCs w:val="24"/>
        </w:rPr>
        <w:t xml:space="preserve"> være på</w:t>
      </w:r>
      <w:r w:rsidR="00BE0A57">
        <w:rPr>
          <w:szCs w:val="24"/>
        </w:rPr>
        <w:t xml:space="preserve"> </w:t>
      </w:r>
      <w:r w:rsidR="00E51379">
        <w:rPr>
          <w:szCs w:val="24"/>
        </w:rPr>
        <w:t>83</w:t>
      </w:r>
      <w:r w:rsidR="00BE0A57">
        <w:rPr>
          <w:szCs w:val="24"/>
        </w:rPr>
        <w:t>,</w:t>
      </w:r>
      <w:r w:rsidR="00E51379">
        <w:rPr>
          <w:szCs w:val="24"/>
        </w:rPr>
        <w:t>56</w:t>
      </w:r>
      <w:r w:rsidRPr="004E4007">
        <w:rPr>
          <w:szCs w:val="24"/>
        </w:rPr>
        <w:t>dkk, pr</w:t>
      </w:r>
      <w:r w:rsidR="00261C01">
        <w:rPr>
          <w:szCs w:val="24"/>
        </w:rPr>
        <w:t>.</w:t>
      </w:r>
      <w:r w:rsidRPr="004E4007">
        <w:rPr>
          <w:szCs w:val="24"/>
        </w:rPr>
        <w:t xml:space="preserve"> aktie, som er beregnet på baggrund af </w:t>
      </w:r>
      <w:r w:rsidR="003A2F0C">
        <w:rPr>
          <w:szCs w:val="24"/>
        </w:rPr>
        <w:t>budgetforudsætningerne</w:t>
      </w:r>
      <w:r w:rsidR="009F0097">
        <w:rPr>
          <w:szCs w:val="24"/>
        </w:rPr>
        <w:t xml:space="preserve"> og terminalperioden</w:t>
      </w:r>
      <w:r w:rsidRPr="004E4007">
        <w:rPr>
          <w:szCs w:val="24"/>
        </w:rPr>
        <w:t xml:space="preserve">. </w:t>
      </w:r>
    </w:p>
    <w:p w:rsidR="0056076E" w:rsidRDefault="0056076E" w:rsidP="0056076E">
      <w:pPr>
        <w:rPr>
          <w:szCs w:val="24"/>
        </w:rPr>
      </w:pPr>
      <w:r>
        <w:rPr>
          <w:szCs w:val="24"/>
        </w:rPr>
        <w:t>Den aktuelle kurs d. 10-09-2012 var 87,4</w:t>
      </w:r>
      <w:r w:rsidR="005D00EE">
        <w:rPr>
          <w:szCs w:val="24"/>
        </w:rPr>
        <w:t>0</w:t>
      </w:r>
      <w:r>
        <w:rPr>
          <w:szCs w:val="24"/>
        </w:rPr>
        <w:t>.</w:t>
      </w:r>
    </w:p>
    <w:p w:rsidR="0056076E" w:rsidRPr="004E4007" w:rsidRDefault="0056076E" w:rsidP="0056076E">
      <w:pPr>
        <w:rPr>
          <w:szCs w:val="24"/>
        </w:rPr>
      </w:pPr>
      <w:r w:rsidRPr="004E4007">
        <w:rPr>
          <w:szCs w:val="24"/>
        </w:rPr>
        <w:t>Det kan dermed konkluderes</w:t>
      </w:r>
      <w:r>
        <w:rPr>
          <w:szCs w:val="24"/>
        </w:rPr>
        <w:t>,</w:t>
      </w:r>
      <w:r w:rsidRPr="004E4007">
        <w:rPr>
          <w:szCs w:val="24"/>
        </w:rPr>
        <w:t xml:space="preserve"> at Pandora aktien er </w:t>
      </w:r>
      <w:r>
        <w:rPr>
          <w:szCs w:val="24"/>
        </w:rPr>
        <w:t>overvurderet med (87,4</w:t>
      </w:r>
      <w:r w:rsidR="005D00EE">
        <w:rPr>
          <w:szCs w:val="24"/>
        </w:rPr>
        <w:t>0</w:t>
      </w:r>
      <w:r>
        <w:rPr>
          <w:szCs w:val="24"/>
        </w:rPr>
        <w:t xml:space="preserve"> - 83,56) 3,84</w:t>
      </w:r>
      <w:r w:rsidRPr="004E4007">
        <w:rPr>
          <w:szCs w:val="24"/>
        </w:rPr>
        <w:t>dkk pr</w:t>
      </w:r>
      <w:r>
        <w:rPr>
          <w:szCs w:val="24"/>
        </w:rPr>
        <w:t xml:space="preserve"> aktie </w:t>
      </w:r>
      <w:r w:rsidRPr="004E4007">
        <w:rPr>
          <w:szCs w:val="24"/>
        </w:rPr>
        <w:t>d.10-09-2012</w:t>
      </w:r>
      <w:r>
        <w:rPr>
          <w:szCs w:val="24"/>
        </w:rPr>
        <w:t>. Det er derfor ikke attraktivt at købe Pandora aktien d. 10</w:t>
      </w:r>
      <w:r w:rsidR="005D00EE">
        <w:rPr>
          <w:szCs w:val="24"/>
        </w:rPr>
        <w:t>-</w:t>
      </w:r>
      <w:r>
        <w:rPr>
          <w:szCs w:val="24"/>
        </w:rPr>
        <w:t>09-2012. Modsat ville et salg være attraktivt.</w:t>
      </w:r>
    </w:p>
    <w:p w:rsidR="009F0097" w:rsidRDefault="009F0097" w:rsidP="0056076E">
      <w:r>
        <w:rPr>
          <w:szCs w:val="24"/>
        </w:rPr>
        <w:t>D</w:t>
      </w:r>
      <w:r w:rsidR="00080376" w:rsidRPr="004E4007">
        <w:rPr>
          <w:szCs w:val="24"/>
        </w:rPr>
        <w:t>et</w:t>
      </w:r>
      <w:r w:rsidR="00F52006">
        <w:rPr>
          <w:szCs w:val="24"/>
        </w:rPr>
        <w:t xml:space="preserve"> skal dog noteres</w:t>
      </w:r>
      <w:r w:rsidR="00B17DF0">
        <w:rPr>
          <w:szCs w:val="24"/>
        </w:rPr>
        <w:t>,</w:t>
      </w:r>
      <w:r w:rsidR="00F52006">
        <w:rPr>
          <w:szCs w:val="24"/>
        </w:rPr>
        <w:t xml:space="preserve"> at der ved</w:t>
      </w:r>
      <w:r w:rsidR="00080376" w:rsidRPr="004E4007">
        <w:rPr>
          <w:szCs w:val="24"/>
        </w:rPr>
        <w:t xml:space="preserve"> bare små ændringer i estimeret WACC, g, risikofrie rente, AOH og salgsvækst etc., kan forårsage store ændringer i værdiansættelsen.</w:t>
      </w:r>
      <w:r w:rsidR="0056076E">
        <w:t xml:space="preserve"> </w:t>
      </w:r>
    </w:p>
    <w:p w:rsidR="009F0097" w:rsidRDefault="009F0097" w:rsidP="009F0097"/>
    <w:p w:rsidR="00080376" w:rsidRDefault="004E2A86" w:rsidP="004A7AAB">
      <w:pPr>
        <w:pStyle w:val="Overskrift1"/>
      </w:pPr>
      <w:bookmarkStart w:id="15" w:name="_Toc351290072"/>
      <w:r>
        <w:lastRenderedPageBreak/>
        <w:t xml:space="preserve">9.0 </w:t>
      </w:r>
      <w:r w:rsidR="004A7AAB">
        <w:t>Litteraturliste</w:t>
      </w:r>
      <w:bookmarkEnd w:id="15"/>
    </w:p>
    <w:p w:rsidR="004A7AAB" w:rsidRDefault="004A7AAB" w:rsidP="004A7AAB"/>
    <w:p w:rsidR="00FA41E7" w:rsidRPr="00FA41E7" w:rsidRDefault="00FA41E7" w:rsidP="004A7AAB">
      <w:pPr>
        <w:rPr>
          <w:b/>
        </w:rPr>
      </w:pPr>
      <w:r w:rsidRPr="00FA41E7">
        <w:rPr>
          <w:b/>
        </w:rPr>
        <w:t>Bøger</w:t>
      </w:r>
    </w:p>
    <w:p w:rsidR="00FA41E7" w:rsidRDefault="00FA41E7" w:rsidP="00FA41E7">
      <w:pPr>
        <w:autoSpaceDE w:val="0"/>
        <w:autoSpaceDN w:val="0"/>
        <w:adjustRightInd w:val="0"/>
        <w:rPr>
          <w:rFonts w:ascii="Calibri" w:hAnsi="Calibri" w:cs="Calibri"/>
          <w:szCs w:val="24"/>
        </w:rPr>
      </w:pPr>
      <w:r>
        <w:rPr>
          <w:rFonts w:ascii="Calibri" w:hAnsi="Calibri" w:cs="Calibri"/>
          <w:color w:val="000000"/>
          <w:sz w:val="23"/>
          <w:szCs w:val="23"/>
        </w:rPr>
        <w:t xml:space="preserve">Elling, m.fl. 2005: Regnskabsanalyse og værdiansættelse – en praktisk tilgang </w:t>
      </w:r>
    </w:p>
    <w:p w:rsidR="00FA41E7" w:rsidRDefault="00FA41E7" w:rsidP="00FA41E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Holm-Rasmussen, m.fl. 2006: Økonomisk styring og virksomhedsanalyse </w:t>
      </w:r>
    </w:p>
    <w:p w:rsidR="00FA41E7" w:rsidRDefault="00FA41E7" w:rsidP="00FA41E7">
      <w:r>
        <w:rPr>
          <w:rFonts w:ascii="Calibri" w:hAnsi="Calibri" w:cs="Calibri"/>
          <w:color w:val="000000"/>
          <w:sz w:val="23"/>
          <w:szCs w:val="23"/>
        </w:rPr>
        <w:t>Andersen, m.fl. 2008: International markedsføring.</w:t>
      </w:r>
    </w:p>
    <w:p w:rsidR="00FA41E7" w:rsidRDefault="00FA41E7" w:rsidP="0088505D">
      <w:pPr>
        <w:autoSpaceDE w:val="0"/>
        <w:autoSpaceDN w:val="0"/>
        <w:adjustRightInd w:val="0"/>
        <w:rPr>
          <w:rFonts w:ascii="Calibri" w:hAnsi="Calibri" w:cs="Calibri"/>
          <w:szCs w:val="24"/>
        </w:rPr>
      </w:pPr>
    </w:p>
    <w:p w:rsidR="00FA41E7" w:rsidRPr="00FA41E7" w:rsidRDefault="00FA41E7" w:rsidP="0088505D">
      <w:pPr>
        <w:autoSpaceDE w:val="0"/>
        <w:autoSpaceDN w:val="0"/>
        <w:adjustRightInd w:val="0"/>
        <w:rPr>
          <w:rFonts w:ascii="Calibri" w:hAnsi="Calibri" w:cs="Calibri"/>
          <w:b/>
          <w:szCs w:val="24"/>
        </w:rPr>
      </w:pPr>
      <w:r w:rsidRPr="00FA41E7">
        <w:rPr>
          <w:rFonts w:ascii="Calibri" w:hAnsi="Calibri" w:cs="Calibri"/>
          <w:b/>
          <w:szCs w:val="24"/>
        </w:rPr>
        <w:t>Web-kilder</w:t>
      </w:r>
    </w:p>
    <w:p w:rsidR="0088505D" w:rsidRDefault="002E534F" w:rsidP="0088505D">
      <w:pPr>
        <w:autoSpaceDE w:val="0"/>
        <w:autoSpaceDN w:val="0"/>
        <w:adjustRightInd w:val="0"/>
        <w:rPr>
          <w:rFonts w:ascii="Calibri" w:hAnsi="Calibri" w:cs="Calibri"/>
          <w:color w:val="000000"/>
          <w:sz w:val="23"/>
          <w:szCs w:val="23"/>
        </w:rPr>
      </w:pPr>
      <w:hyperlink r:id="rId12" w:history="1">
        <w:r w:rsidR="0088505D">
          <w:rPr>
            <w:rFonts w:ascii="Calibri" w:hAnsi="Calibri" w:cs="Calibri"/>
            <w:color w:val="0000FF"/>
            <w:szCs w:val="24"/>
            <w:u w:val="single"/>
          </w:rPr>
          <w:t>http://www.goldprice.org</w:t>
        </w:r>
      </w:hyperlink>
    </w:p>
    <w:p w:rsidR="00680A92" w:rsidRPr="00680A92" w:rsidRDefault="002E534F" w:rsidP="0088505D">
      <w:pPr>
        <w:autoSpaceDE w:val="0"/>
        <w:autoSpaceDN w:val="0"/>
        <w:adjustRightInd w:val="0"/>
        <w:rPr>
          <w:rFonts w:ascii="Calibri" w:hAnsi="Calibri" w:cs="Calibri"/>
          <w:szCs w:val="24"/>
        </w:rPr>
      </w:pPr>
      <w:hyperlink r:id="rId13" w:history="1">
        <w:r w:rsidR="0088505D">
          <w:rPr>
            <w:rFonts w:ascii="Calibri" w:hAnsi="Calibri" w:cs="Calibri"/>
            <w:color w:val="0000FF"/>
            <w:szCs w:val="24"/>
            <w:u w:val="single"/>
          </w:rPr>
          <w:t>http://investor.en.pandora.net/</w:t>
        </w:r>
      </w:hyperlink>
    </w:p>
    <w:p w:rsidR="0088505D" w:rsidRDefault="002E534F" w:rsidP="0088505D">
      <w:pPr>
        <w:autoSpaceDE w:val="0"/>
        <w:autoSpaceDN w:val="0"/>
        <w:adjustRightInd w:val="0"/>
        <w:rPr>
          <w:rFonts w:ascii="Calibri" w:hAnsi="Calibri" w:cs="Calibri"/>
          <w:color w:val="000000"/>
          <w:sz w:val="23"/>
          <w:szCs w:val="23"/>
        </w:rPr>
      </w:pPr>
      <w:hyperlink r:id="rId14" w:history="1">
        <w:r w:rsidR="0088505D">
          <w:rPr>
            <w:rFonts w:ascii="Calibri" w:hAnsi="Calibri" w:cs="Calibri"/>
            <w:color w:val="0000FF"/>
            <w:szCs w:val="24"/>
            <w:u w:val="single"/>
          </w:rPr>
          <w:t>http://da.wikipedia.org/wiki</w:t>
        </w:r>
      </w:hyperlink>
    </w:p>
    <w:p w:rsidR="0088505D" w:rsidRDefault="002E534F" w:rsidP="0088505D">
      <w:pPr>
        <w:autoSpaceDE w:val="0"/>
        <w:autoSpaceDN w:val="0"/>
        <w:adjustRightInd w:val="0"/>
        <w:rPr>
          <w:rFonts w:ascii="Calibri" w:hAnsi="Calibri" w:cs="Calibri"/>
          <w:color w:val="000000"/>
          <w:sz w:val="23"/>
          <w:szCs w:val="23"/>
        </w:rPr>
      </w:pPr>
      <w:hyperlink r:id="rId15" w:history="1">
        <w:r w:rsidR="0088505D">
          <w:rPr>
            <w:rFonts w:ascii="Calibri" w:hAnsi="Calibri" w:cs="Calibri"/>
            <w:color w:val="0000FF"/>
            <w:szCs w:val="24"/>
            <w:u w:val="single"/>
          </w:rPr>
          <w:t>http://en.wikipedia.org/wiki/</w:t>
        </w:r>
      </w:hyperlink>
    </w:p>
    <w:p w:rsidR="0088505D" w:rsidRDefault="002E534F" w:rsidP="0088505D">
      <w:pPr>
        <w:autoSpaceDE w:val="0"/>
        <w:autoSpaceDN w:val="0"/>
        <w:adjustRightInd w:val="0"/>
        <w:rPr>
          <w:rFonts w:ascii="Calibri" w:hAnsi="Calibri" w:cs="Calibri"/>
          <w:color w:val="000000"/>
          <w:sz w:val="23"/>
          <w:szCs w:val="23"/>
        </w:rPr>
      </w:pPr>
      <w:hyperlink r:id="rId16" w:history="1">
        <w:r w:rsidR="0088505D">
          <w:rPr>
            <w:rFonts w:ascii="Calibri" w:hAnsi="Calibri" w:cs="Calibri"/>
            <w:color w:val="0000FF"/>
            <w:szCs w:val="24"/>
            <w:u w:val="single"/>
          </w:rPr>
          <w:t>http://epn.dk/investor/</w:t>
        </w:r>
      </w:hyperlink>
    </w:p>
    <w:p w:rsidR="0088505D" w:rsidRDefault="002E534F" w:rsidP="0088505D">
      <w:pPr>
        <w:autoSpaceDE w:val="0"/>
        <w:autoSpaceDN w:val="0"/>
        <w:adjustRightInd w:val="0"/>
        <w:rPr>
          <w:rFonts w:ascii="Calibri" w:hAnsi="Calibri" w:cs="Calibri"/>
          <w:szCs w:val="24"/>
        </w:rPr>
      </w:pPr>
      <w:hyperlink r:id="rId17" w:history="1">
        <w:r w:rsidR="0088505D">
          <w:rPr>
            <w:rFonts w:ascii="Calibri" w:hAnsi="Calibri" w:cs="Calibri"/>
            <w:color w:val="0000FF"/>
            <w:szCs w:val="24"/>
            <w:u w:val="single"/>
          </w:rPr>
          <w:t>http://www.trollbeadsuniverse.com/denmark/da-dk</w:t>
        </w:r>
      </w:hyperlink>
      <w:r w:rsidR="0088505D">
        <w:rPr>
          <w:rFonts w:ascii="Calibri" w:hAnsi="Calibri" w:cs="Calibri"/>
          <w:szCs w:val="24"/>
        </w:rPr>
        <w:t xml:space="preserve">  </w:t>
      </w:r>
    </w:p>
    <w:p w:rsidR="0088505D" w:rsidRDefault="002E534F" w:rsidP="0088505D">
      <w:pPr>
        <w:autoSpaceDE w:val="0"/>
        <w:autoSpaceDN w:val="0"/>
        <w:adjustRightInd w:val="0"/>
        <w:rPr>
          <w:rFonts w:ascii="Calibri" w:hAnsi="Calibri" w:cs="Calibri"/>
          <w:color w:val="000000"/>
          <w:sz w:val="23"/>
          <w:szCs w:val="23"/>
        </w:rPr>
      </w:pPr>
      <w:hyperlink r:id="rId18" w:history="1">
        <w:r w:rsidR="0088505D" w:rsidRPr="0088505D">
          <w:rPr>
            <w:rFonts w:ascii="Calibri" w:hAnsi="Calibri" w:cs="Calibri"/>
            <w:color w:val="0000FF"/>
            <w:szCs w:val="24"/>
            <w:u w:val="single"/>
          </w:rPr>
          <w:t>http://in2media.dk</w:t>
        </w:r>
      </w:hyperlink>
    </w:p>
    <w:p w:rsidR="0088505D" w:rsidRDefault="002E534F" w:rsidP="0088505D">
      <w:pPr>
        <w:autoSpaceDE w:val="0"/>
        <w:autoSpaceDN w:val="0"/>
        <w:adjustRightInd w:val="0"/>
        <w:rPr>
          <w:rFonts w:ascii="Calibri" w:hAnsi="Calibri" w:cs="Calibri"/>
          <w:color w:val="000000"/>
          <w:sz w:val="23"/>
          <w:szCs w:val="23"/>
        </w:rPr>
      </w:pPr>
      <w:hyperlink r:id="rId19" w:history="1">
        <w:r w:rsidR="0088505D">
          <w:rPr>
            <w:rFonts w:ascii="Calibri" w:hAnsi="Calibri" w:cs="Calibri"/>
            <w:color w:val="0000FF"/>
            <w:szCs w:val="24"/>
            <w:u w:val="single"/>
          </w:rPr>
          <w:t>http://www.business.dk/fashion-design</w:t>
        </w:r>
      </w:hyperlink>
    </w:p>
    <w:p w:rsidR="0088505D" w:rsidRDefault="002E534F" w:rsidP="0088505D">
      <w:pPr>
        <w:autoSpaceDE w:val="0"/>
        <w:autoSpaceDN w:val="0"/>
        <w:adjustRightInd w:val="0"/>
        <w:rPr>
          <w:rFonts w:ascii="Calibri" w:hAnsi="Calibri" w:cs="Calibri"/>
          <w:color w:val="000000"/>
          <w:sz w:val="23"/>
          <w:szCs w:val="23"/>
        </w:rPr>
      </w:pPr>
      <w:hyperlink r:id="rId20" w:history="1">
        <w:r w:rsidR="0088505D">
          <w:rPr>
            <w:rFonts w:ascii="Calibri" w:hAnsi="Calibri" w:cs="Calibri"/>
            <w:color w:val="0000FF"/>
            <w:szCs w:val="24"/>
            <w:u w:val="single"/>
          </w:rPr>
          <w:t>http://www.getloaded.dk</w:t>
        </w:r>
      </w:hyperlink>
    </w:p>
    <w:p w:rsidR="0088505D" w:rsidRDefault="002E534F" w:rsidP="0088505D">
      <w:pPr>
        <w:autoSpaceDE w:val="0"/>
        <w:autoSpaceDN w:val="0"/>
        <w:adjustRightInd w:val="0"/>
        <w:rPr>
          <w:rFonts w:ascii="Calibri" w:hAnsi="Calibri" w:cs="Calibri"/>
          <w:color w:val="000000"/>
          <w:sz w:val="23"/>
          <w:szCs w:val="23"/>
        </w:rPr>
      </w:pPr>
      <w:hyperlink r:id="rId21" w:history="1">
        <w:r w:rsidR="0088505D">
          <w:rPr>
            <w:rFonts w:ascii="Calibri" w:hAnsi="Calibri" w:cs="Calibri"/>
            <w:color w:val="0000FF"/>
            <w:szCs w:val="24"/>
            <w:u w:val="single"/>
          </w:rPr>
          <w:t>http://www.proinvestor.com/aktier/pandora/PNDORA.CO</w:t>
        </w:r>
      </w:hyperlink>
    </w:p>
    <w:p w:rsidR="0088505D" w:rsidRDefault="002E534F" w:rsidP="0088505D">
      <w:pPr>
        <w:autoSpaceDE w:val="0"/>
        <w:autoSpaceDN w:val="0"/>
        <w:adjustRightInd w:val="0"/>
        <w:rPr>
          <w:rFonts w:ascii="Calibri" w:hAnsi="Calibri" w:cs="Calibri"/>
          <w:szCs w:val="24"/>
        </w:rPr>
      </w:pPr>
      <w:hyperlink r:id="rId22" w:history="1">
        <w:r w:rsidR="0088505D">
          <w:rPr>
            <w:rFonts w:ascii="Calibri" w:hAnsi="Calibri" w:cs="Calibri"/>
            <w:color w:val="0000FF"/>
            <w:szCs w:val="24"/>
            <w:u w:val="single"/>
          </w:rPr>
          <w:t>http://www.ifr.dk</w:t>
        </w:r>
      </w:hyperlink>
    </w:p>
    <w:p w:rsidR="0088505D" w:rsidRDefault="002E534F" w:rsidP="0088505D">
      <w:pPr>
        <w:autoSpaceDE w:val="0"/>
        <w:autoSpaceDN w:val="0"/>
        <w:adjustRightInd w:val="0"/>
        <w:rPr>
          <w:rFonts w:ascii="Calibri" w:hAnsi="Calibri" w:cs="Calibri"/>
          <w:color w:val="000000"/>
          <w:sz w:val="23"/>
          <w:szCs w:val="23"/>
        </w:rPr>
      </w:pPr>
      <w:hyperlink r:id="rId23" w:history="1">
        <w:r w:rsidR="0088505D">
          <w:rPr>
            <w:rFonts w:ascii="Calibri" w:hAnsi="Calibri" w:cs="Calibri"/>
            <w:color w:val="0000FF"/>
            <w:szCs w:val="24"/>
            <w:u w:val="single"/>
          </w:rPr>
          <w:t>http://nationalbanken.dk</w:t>
        </w:r>
      </w:hyperlink>
    </w:p>
    <w:p w:rsidR="0088505D" w:rsidRDefault="002E534F" w:rsidP="0088505D">
      <w:pPr>
        <w:autoSpaceDE w:val="0"/>
        <w:autoSpaceDN w:val="0"/>
        <w:adjustRightInd w:val="0"/>
        <w:rPr>
          <w:rFonts w:ascii="Calibri" w:hAnsi="Calibri" w:cs="Calibri"/>
          <w:szCs w:val="24"/>
        </w:rPr>
      </w:pPr>
      <w:hyperlink r:id="rId24" w:history="1">
        <w:r w:rsidR="0088505D">
          <w:rPr>
            <w:rFonts w:ascii="Calibri" w:hAnsi="Calibri" w:cs="Calibri"/>
            <w:color w:val="0000FF"/>
            <w:szCs w:val="24"/>
            <w:u w:val="single"/>
          </w:rPr>
          <w:t>http://www.soliditet.dk</w:t>
        </w:r>
      </w:hyperlink>
    </w:p>
    <w:p w:rsidR="00FA41E7" w:rsidRDefault="002E534F" w:rsidP="0088505D">
      <w:pPr>
        <w:autoSpaceDE w:val="0"/>
        <w:autoSpaceDN w:val="0"/>
        <w:adjustRightInd w:val="0"/>
        <w:rPr>
          <w:rFonts w:ascii="Calibri" w:hAnsi="Calibri" w:cs="Calibri"/>
          <w:color w:val="000000"/>
          <w:sz w:val="23"/>
          <w:szCs w:val="23"/>
        </w:rPr>
      </w:pPr>
      <w:hyperlink r:id="rId25" w:history="1">
        <w:r w:rsidR="00FA41E7" w:rsidRPr="008572B6">
          <w:rPr>
            <w:rStyle w:val="Hyperlink"/>
            <w:rFonts w:ascii="Calibri" w:hAnsi="Calibri" w:cs="Calibri"/>
            <w:sz w:val="23"/>
            <w:szCs w:val="23"/>
          </w:rPr>
          <w:t>http://di.dk/</w:t>
        </w:r>
      </w:hyperlink>
      <w:r w:rsidR="00FA41E7">
        <w:rPr>
          <w:rFonts w:ascii="Calibri" w:hAnsi="Calibri" w:cs="Calibri"/>
          <w:color w:val="000000"/>
          <w:sz w:val="23"/>
          <w:szCs w:val="23"/>
        </w:rPr>
        <w:t xml:space="preserve"> </w:t>
      </w:r>
    </w:p>
    <w:p w:rsidR="00680A92" w:rsidRDefault="002E534F" w:rsidP="0088505D">
      <w:pPr>
        <w:autoSpaceDE w:val="0"/>
        <w:autoSpaceDN w:val="0"/>
        <w:adjustRightInd w:val="0"/>
        <w:rPr>
          <w:rFonts w:ascii="Calibri" w:hAnsi="Calibri" w:cs="Calibri"/>
          <w:color w:val="000000"/>
          <w:sz w:val="23"/>
          <w:szCs w:val="23"/>
        </w:rPr>
      </w:pPr>
      <w:hyperlink r:id="rId26" w:history="1">
        <w:r w:rsidR="00680A92" w:rsidRPr="008572B6">
          <w:rPr>
            <w:rStyle w:val="Hyperlink"/>
            <w:rFonts w:ascii="Calibri" w:hAnsi="Calibri" w:cs="Calibri"/>
            <w:sz w:val="23"/>
            <w:szCs w:val="23"/>
          </w:rPr>
          <w:t>http://www.euroinvestor.dk/boerser/nasdaq-omx-copenhagen</w:t>
        </w:r>
      </w:hyperlink>
      <w:r w:rsidR="00680A92">
        <w:rPr>
          <w:rFonts w:ascii="Calibri" w:hAnsi="Calibri" w:cs="Calibri"/>
          <w:color w:val="000000"/>
          <w:sz w:val="23"/>
          <w:szCs w:val="23"/>
        </w:rPr>
        <w:t xml:space="preserve"> </w:t>
      </w:r>
    </w:p>
    <w:p w:rsidR="0088505D" w:rsidRDefault="0088505D" w:rsidP="004A7AAB"/>
    <w:p w:rsidR="004A7AAB" w:rsidRPr="004A7AAB" w:rsidRDefault="004A7AAB" w:rsidP="004A7AAB"/>
    <w:p w:rsidR="004A7AAB" w:rsidRPr="004E4007" w:rsidRDefault="004A7AAB" w:rsidP="00080376">
      <w:pPr>
        <w:rPr>
          <w:szCs w:val="24"/>
        </w:rPr>
      </w:pPr>
    </w:p>
    <w:p w:rsidR="00080376" w:rsidRPr="004E4007" w:rsidRDefault="00080376" w:rsidP="00080376">
      <w:pPr>
        <w:rPr>
          <w:szCs w:val="24"/>
        </w:rPr>
      </w:pPr>
    </w:p>
    <w:p w:rsidR="00AD4BF1" w:rsidRPr="004E2A86" w:rsidRDefault="00080376" w:rsidP="004E2A86">
      <w:pPr>
        <w:pStyle w:val="Overskrift1"/>
      </w:pPr>
      <w:r w:rsidRPr="004E4007">
        <w:br w:type="page"/>
      </w:r>
      <w:bookmarkStart w:id="16" w:name="_Toc351290073"/>
      <w:r w:rsidR="004E2A86" w:rsidRPr="004E2A86">
        <w:lastRenderedPageBreak/>
        <w:t xml:space="preserve">10.0 </w:t>
      </w:r>
      <w:r w:rsidR="00906D7A" w:rsidRPr="004E2A86">
        <w:t>Bilag 1</w:t>
      </w:r>
      <w:r w:rsidR="00AD4BF1" w:rsidRPr="004E2A86">
        <w:t xml:space="preserve"> (2 Sider)</w:t>
      </w:r>
      <w:bookmarkEnd w:id="16"/>
    </w:p>
    <w:tbl>
      <w:tblPr>
        <w:tblW w:w="6720" w:type="dxa"/>
        <w:tblInd w:w="55" w:type="dxa"/>
        <w:tblCellMar>
          <w:left w:w="70" w:type="dxa"/>
          <w:right w:w="70" w:type="dxa"/>
        </w:tblCellMar>
        <w:tblLook w:val="04A0"/>
      </w:tblPr>
      <w:tblGrid>
        <w:gridCol w:w="3840"/>
        <w:gridCol w:w="960"/>
        <w:gridCol w:w="960"/>
        <w:gridCol w:w="960"/>
      </w:tblGrid>
      <w:tr w:rsidR="00906D7A" w:rsidRPr="00906D7A" w:rsidTr="00906D7A">
        <w:trPr>
          <w:trHeight w:val="300"/>
        </w:trPr>
        <w:tc>
          <w:tcPr>
            <w:tcW w:w="3840" w:type="dxa"/>
            <w:tcBorders>
              <w:top w:val="nil"/>
              <w:left w:val="nil"/>
              <w:bottom w:val="nil"/>
              <w:right w:val="nil"/>
            </w:tcBorders>
            <w:shd w:val="clear" w:color="000000" w:fill="FFFFFF"/>
            <w:noWrap/>
            <w:vAlign w:val="bottom"/>
            <w:hideMark/>
          </w:tcPr>
          <w:p w:rsidR="00906D7A" w:rsidRPr="00906D7A" w:rsidRDefault="00906D7A" w:rsidP="00906D7A">
            <w:pPr>
              <w:spacing w:after="0" w:line="240" w:lineRule="auto"/>
              <w:jc w:val="right"/>
              <w:rPr>
                <w:rFonts w:ascii="Calibri" w:eastAsia="Times New Roman" w:hAnsi="Calibri" w:cs="Times New Roman"/>
                <w:color w:val="000000"/>
                <w:lang w:eastAsia="da-DK"/>
              </w:rPr>
            </w:pPr>
            <w:r w:rsidRPr="00906D7A">
              <w:rPr>
                <w:rFonts w:ascii="Calibri" w:eastAsia="Times New Roman" w:hAnsi="Calibri" w:cs="Times New Roman"/>
                <w:color w:val="000000"/>
                <w:sz w:val="22"/>
                <w:lang w:eastAsia="da-DK"/>
              </w:rPr>
              <w:t>Å</w:t>
            </w:r>
            <w:r w:rsidR="00FA41E7">
              <w:rPr>
                <w:rFonts w:ascii="Calibri" w:eastAsia="Times New Roman" w:hAnsi="Calibri" w:cs="Times New Roman"/>
                <w:color w:val="000000"/>
                <w:sz w:val="22"/>
                <w:lang w:eastAsia="da-DK"/>
              </w:rPr>
              <w:t>rsr</w:t>
            </w:r>
            <w:r w:rsidRPr="00906D7A">
              <w:rPr>
                <w:rFonts w:ascii="Calibri" w:eastAsia="Times New Roman" w:hAnsi="Calibri" w:cs="Times New Roman"/>
                <w:color w:val="000000"/>
                <w:sz w:val="22"/>
                <w:lang w:eastAsia="da-DK"/>
              </w:rPr>
              <w:t>egnskab</w:t>
            </w:r>
          </w:p>
        </w:tc>
        <w:tc>
          <w:tcPr>
            <w:tcW w:w="960" w:type="dxa"/>
            <w:tcBorders>
              <w:top w:val="nil"/>
              <w:left w:val="nil"/>
              <w:bottom w:val="nil"/>
              <w:right w:val="nil"/>
            </w:tcBorders>
            <w:shd w:val="clear" w:color="000000" w:fill="FFFFFF"/>
            <w:noWrap/>
            <w:vAlign w:val="bottom"/>
            <w:hideMark/>
          </w:tcPr>
          <w:p w:rsidR="00906D7A" w:rsidRPr="00906D7A" w:rsidRDefault="00906D7A" w:rsidP="00906D7A">
            <w:pPr>
              <w:spacing w:after="0" w:line="240" w:lineRule="auto"/>
              <w:rPr>
                <w:rFonts w:ascii="Calibri" w:eastAsia="Times New Roman" w:hAnsi="Calibri" w:cs="Times New Roman"/>
                <w:color w:val="000000"/>
                <w:lang w:eastAsia="da-DK"/>
              </w:rPr>
            </w:pPr>
            <w:r w:rsidRPr="00906D7A">
              <w:rPr>
                <w:rFonts w:ascii="Calibri" w:eastAsia="Times New Roman" w:hAnsi="Calibri" w:cs="Times New Roman"/>
                <w:color w:val="000000"/>
                <w:sz w:val="22"/>
                <w:lang w:eastAsia="da-DK"/>
              </w:rPr>
              <w:t> </w:t>
            </w:r>
          </w:p>
        </w:tc>
        <w:tc>
          <w:tcPr>
            <w:tcW w:w="960" w:type="dxa"/>
            <w:tcBorders>
              <w:top w:val="nil"/>
              <w:left w:val="nil"/>
              <w:bottom w:val="nil"/>
              <w:right w:val="nil"/>
            </w:tcBorders>
            <w:shd w:val="clear" w:color="000000" w:fill="FFFFFF"/>
            <w:noWrap/>
            <w:vAlign w:val="bottom"/>
            <w:hideMark/>
          </w:tcPr>
          <w:p w:rsidR="00906D7A" w:rsidRPr="00906D7A" w:rsidRDefault="00906D7A" w:rsidP="00906D7A">
            <w:pPr>
              <w:spacing w:after="0" w:line="240" w:lineRule="auto"/>
              <w:rPr>
                <w:rFonts w:ascii="Calibri" w:eastAsia="Times New Roman" w:hAnsi="Calibri" w:cs="Times New Roman"/>
                <w:color w:val="000000"/>
                <w:lang w:eastAsia="da-DK"/>
              </w:rPr>
            </w:pPr>
            <w:r w:rsidRPr="00906D7A">
              <w:rPr>
                <w:rFonts w:ascii="Calibri" w:eastAsia="Times New Roman" w:hAnsi="Calibri" w:cs="Times New Roman"/>
                <w:color w:val="000000"/>
                <w:sz w:val="22"/>
                <w:lang w:eastAsia="da-DK"/>
              </w:rPr>
              <w:t> </w:t>
            </w:r>
          </w:p>
        </w:tc>
        <w:tc>
          <w:tcPr>
            <w:tcW w:w="960" w:type="dxa"/>
            <w:tcBorders>
              <w:top w:val="nil"/>
              <w:left w:val="nil"/>
              <w:bottom w:val="nil"/>
              <w:right w:val="nil"/>
            </w:tcBorders>
            <w:shd w:val="clear" w:color="000000" w:fill="FFFFFF"/>
            <w:noWrap/>
            <w:vAlign w:val="bottom"/>
            <w:hideMark/>
          </w:tcPr>
          <w:p w:rsidR="00906D7A" w:rsidRPr="00906D7A" w:rsidRDefault="00906D7A" w:rsidP="00906D7A">
            <w:pPr>
              <w:spacing w:after="0" w:line="240" w:lineRule="auto"/>
              <w:rPr>
                <w:rFonts w:ascii="Calibri" w:eastAsia="Times New Roman" w:hAnsi="Calibri" w:cs="Times New Roman"/>
                <w:color w:val="000000"/>
                <w:lang w:eastAsia="da-DK"/>
              </w:rPr>
            </w:pPr>
            <w:r w:rsidRPr="00906D7A">
              <w:rPr>
                <w:rFonts w:ascii="Calibri" w:eastAsia="Times New Roman" w:hAnsi="Calibri" w:cs="Times New Roman"/>
                <w:color w:val="000000"/>
                <w:sz w:val="22"/>
                <w:lang w:eastAsia="da-DK"/>
              </w:rPr>
              <w:t> </w:t>
            </w:r>
          </w:p>
        </w:tc>
      </w:tr>
      <w:tr w:rsidR="00906D7A" w:rsidRPr="00906D7A" w:rsidTr="00906D7A">
        <w:trPr>
          <w:trHeight w:val="315"/>
        </w:trPr>
        <w:tc>
          <w:tcPr>
            <w:tcW w:w="3840" w:type="dxa"/>
            <w:tcBorders>
              <w:top w:val="nil"/>
              <w:left w:val="nil"/>
              <w:bottom w:val="nil"/>
              <w:right w:val="nil"/>
            </w:tcBorders>
            <w:shd w:val="clear" w:color="000000" w:fill="FFFFFF"/>
            <w:noWrap/>
            <w:vAlign w:val="bottom"/>
            <w:hideMark/>
          </w:tcPr>
          <w:p w:rsidR="00906D7A" w:rsidRPr="00906D7A" w:rsidRDefault="00906D7A" w:rsidP="00906D7A">
            <w:pPr>
              <w:spacing w:after="0" w:line="240" w:lineRule="auto"/>
              <w:rPr>
                <w:rFonts w:ascii="Calibri" w:eastAsia="Times New Roman" w:hAnsi="Calibri" w:cs="Times New Roman"/>
                <w:color w:val="000000"/>
                <w:lang w:eastAsia="da-DK"/>
              </w:rPr>
            </w:pPr>
            <w:r w:rsidRPr="00906D7A">
              <w:rPr>
                <w:rFonts w:ascii="Calibri" w:eastAsia="Times New Roman" w:hAnsi="Calibri" w:cs="Times New Roman"/>
                <w:color w:val="000000"/>
                <w:sz w:val="22"/>
                <w:lang w:eastAsia="da-DK"/>
              </w:rPr>
              <w:t>1.000.000 kr.</w:t>
            </w:r>
          </w:p>
        </w:tc>
        <w:tc>
          <w:tcPr>
            <w:tcW w:w="96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2009</w:t>
            </w:r>
          </w:p>
        </w:tc>
        <w:tc>
          <w:tcPr>
            <w:tcW w:w="96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2010</w:t>
            </w:r>
          </w:p>
        </w:tc>
        <w:tc>
          <w:tcPr>
            <w:tcW w:w="96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2011</w:t>
            </w:r>
          </w:p>
        </w:tc>
      </w:tr>
      <w:tr w:rsidR="00906D7A" w:rsidRPr="00906D7A" w:rsidTr="00906D7A">
        <w:trPr>
          <w:trHeight w:val="315"/>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Omsætning</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3.461</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6.666</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6.658</w:t>
            </w:r>
          </w:p>
        </w:tc>
      </w:tr>
      <w:tr w:rsidR="00906D7A" w:rsidRPr="00906D7A" w:rsidTr="00906D7A">
        <w:trPr>
          <w:trHeight w:val="315"/>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Salgsomkostninger</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1.073</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1.941</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1.798</w:t>
            </w:r>
          </w:p>
        </w:tc>
      </w:tr>
      <w:tr w:rsidR="00906D7A" w:rsidRPr="00906D7A" w:rsidTr="00906D7A">
        <w:trPr>
          <w:trHeight w:val="315"/>
        </w:trPr>
        <w:tc>
          <w:tcPr>
            <w:tcW w:w="3840" w:type="dxa"/>
            <w:tcBorders>
              <w:top w:val="nil"/>
              <w:left w:val="nil"/>
              <w:bottom w:val="single" w:sz="12" w:space="0" w:color="999999"/>
              <w:right w:val="nil"/>
            </w:tcBorders>
            <w:shd w:val="clear" w:color="000000" w:fill="FFFFFF"/>
            <w:vAlign w:val="bottom"/>
            <w:hideMark/>
          </w:tcPr>
          <w:p w:rsidR="00906D7A" w:rsidRPr="00906D7A" w:rsidRDefault="00906D7A" w:rsidP="00906D7A">
            <w:pPr>
              <w:spacing w:after="0" w:line="240" w:lineRule="auto"/>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Driftsindtjening, brutto</w:t>
            </w:r>
          </w:p>
        </w:tc>
        <w:tc>
          <w:tcPr>
            <w:tcW w:w="960" w:type="dxa"/>
            <w:tcBorders>
              <w:top w:val="nil"/>
              <w:left w:val="nil"/>
              <w:bottom w:val="single" w:sz="12" w:space="0" w:color="999999"/>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2.471</w:t>
            </w:r>
          </w:p>
        </w:tc>
        <w:tc>
          <w:tcPr>
            <w:tcW w:w="960" w:type="dxa"/>
            <w:tcBorders>
              <w:top w:val="nil"/>
              <w:left w:val="nil"/>
              <w:bottom w:val="single" w:sz="12" w:space="0" w:color="999999"/>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4.725</w:t>
            </w:r>
          </w:p>
        </w:tc>
        <w:tc>
          <w:tcPr>
            <w:tcW w:w="960" w:type="dxa"/>
            <w:tcBorders>
              <w:top w:val="nil"/>
              <w:left w:val="nil"/>
              <w:bottom w:val="single" w:sz="12" w:space="0" w:color="999999"/>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4.860</w:t>
            </w:r>
          </w:p>
        </w:tc>
      </w:tr>
      <w:tr w:rsidR="00906D7A" w:rsidRPr="00906D7A" w:rsidTr="00906D7A">
        <w:trPr>
          <w:trHeight w:val="330"/>
        </w:trPr>
        <w:tc>
          <w:tcPr>
            <w:tcW w:w="6720" w:type="dxa"/>
            <w:gridSpan w:val="4"/>
            <w:tcBorders>
              <w:top w:val="single" w:sz="12" w:space="0" w:color="999999"/>
              <w:left w:val="nil"/>
              <w:bottom w:val="single" w:sz="8" w:space="0" w:color="D6D6D6"/>
              <w:right w:val="nil"/>
            </w:tcBorders>
            <w:shd w:val="clear" w:color="000000" w:fill="FFFFFF"/>
            <w:vAlign w:val="bottom"/>
            <w:hideMark/>
          </w:tcPr>
          <w:p w:rsidR="00906D7A" w:rsidRPr="00906D7A" w:rsidRDefault="00906D7A" w:rsidP="00906D7A">
            <w:pPr>
              <w:spacing w:after="0" w:line="240" w:lineRule="auto"/>
              <w:ind w:firstLineChars="100" w:firstLine="160"/>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Driftsomkostninger</w:t>
            </w:r>
          </w:p>
        </w:tc>
      </w:tr>
      <w:tr w:rsidR="00906D7A" w:rsidRPr="00906D7A" w:rsidTr="00906D7A">
        <w:trPr>
          <w:trHeight w:val="315"/>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ind w:firstLineChars="100" w:firstLine="160"/>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Forskning og udvikling</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w:t>
            </w:r>
          </w:p>
        </w:tc>
      </w:tr>
      <w:tr w:rsidR="00906D7A" w:rsidRPr="00906D7A" w:rsidTr="00906D7A">
        <w:trPr>
          <w:trHeight w:val="315"/>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ind w:firstLineChars="100" w:firstLine="160"/>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Salgs-, generelle og administrative omk.</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1.047</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2.309</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2.802</w:t>
            </w:r>
          </w:p>
        </w:tc>
      </w:tr>
      <w:tr w:rsidR="00906D7A" w:rsidRPr="00906D7A" w:rsidTr="00906D7A">
        <w:trPr>
          <w:trHeight w:val="315"/>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ind w:firstLineChars="100" w:firstLine="160"/>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Personaleomkostninger</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w:t>
            </w:r>
          </w:p>
        </w:tc>
      </w:tr>
      <w:tr w:rsidR="00906D7A" w:rsidRPr="00906D7A" w:rsidTr="00906D7A">
        <w:trPr>
          <w:trHeight w:val="315"/>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ind w:firstLineChars="100" w:firstLine="160"/>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Afskrivninger og amortisering</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w:t>
            </w:r>
          </w:p>
        </w:tc>
      </w:tr>
      <w:tr w:rsidR="00906D7A" w:rsidRPr="00906D7A" w:rsidTr="00906D7A">
        <w:trPr>
          <w:trHeight w:val="315"/>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ind w:firstLineChars="100" w:firstLine="160"/>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Andre driftsomkostninger</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0</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0</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0</w:t>
            </w:r>
          </w:p>
        </w:tc>
      </w:tr>
      <w:tr w:rsidR="00906D7A" w:rsidRPr="00906D7A" w:rsidTr="00906D7A">
        <w:trPr>
          <w:trHeight w:val="315"/>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ind w:firstLineChars="100" w:firstLine="160"/>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Samlede driftsomkostninger</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1.047</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2.309</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2.802</w:t>
            </w:r>
          </w:p>
        </w:tc>
      </w:tr>
      <w:tr w:rsidR="00906D7A" w:rsidRPr="00906D7A" w:rsidTr="00906D7A">
        <w:trPr>
          <w:trHeight w:val="315"/>
        </w:trPr>
        <w:tc>
          <w:tcPr>
            <w:tcW w:w="3840" w:type="dxa"/>
            <w:tcBorders>
              <w:top w:val="nil"/>
              <w:left w:val="nil"/>
              <w:bottom w:val="single" w:sz="12" w:space="0" w:color="999999"/>
              <w:right w:val="nil"/>
            </w:tcBorders>
            <w:shd w:val="clear" w:color="000000" w:fill="FFFFFF"/>
            <w:vAlign w:val="bottom"/>
            <w:hideMark/>
          </w:tcPr>
          <w:p w:rsidR="00906D7A" w:rsidRPr="00906D7A" w:rsidRDefault="00906D7A" w:rsidP="00906D7A">
            <w:pPr>
              <w:spacing w:after="0" w:line="240" w:lineRule="auto"/>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Driftsresultat før renter og skat</w:t>
            </w:r>
          </w:p>
        </w:tc>
        <w:tc>
          <w:tcPr>
            <w:tcW w:w="960" w:type="dxa"/>
            <w:tcBorders>
              <w:top w:val="nil"/>
              <w:left w:val="nil"/>
              <w:bottom w:val="single" w:sz="12" w:space="0" w:color="999999"/>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1.424</w:t>
            </w:r>
          </w:p>
        </w:tc>
        <w:tc>
          <w:tcPr>
            <w:tcW w:w="960" w:type="dxa"/>
            <w:tcBorders>
              <w:top w:val="nil"/>
              <w:left w:val="nil"/>
              <w:bottom w:val="single" w:sz="12" w:space="0" w:color="999999"/>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2.416</w:t>
            </w:r>
          </w:p>
        </w:tc>
        <w:tc>
          <w:tcPr>
            <w:tcW w:w="960" w:type="dxa"/>
            <w:tcBorders>
              <w:top w:val="nil"/>
              <w:left w:val="nil"/>
              <w:bottom w:val="single" w:sz="12" w:space="0" w:color="999999"/>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2.058</w:t>
            </w:r>
          </w:p>
        </w:tc>
      </w:tr>
      <w:tr w:rsidR="00906D7A" w:rsidRPr="00906D7A" w:rsidTr="00906D7A">
        <w:trPr>
          <w:trHeight w:val="330"/>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Andre indtægter</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-235</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-164</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311</w:t>
            </w:r>
          </w:p>
        </w:tc>
      </w:tr>
      <w:tr w:rsidR="00906D7A" w:rsidRPr="00906D7A" w:rsidTr="00906D7A">
        <w:trPr>
          <w:trHeight w:val="315"/>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Indtægter før skat</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1.189</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2.252</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2.369</w:t>
            </w:r>
          </w:p>
        </w:tc>
      </w:tr>
      <w:tr w:rsidR="00906D7A" w:rsidRPr="00906D7A" w:rsidTr="00906D7A">
        <w:trPr>
          <w:trHeight w:val="315"/>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Skat af resultat</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184</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381</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332</w:t>
            </w:r>
          </w:p>
        </w:tc>
      </w:tr>
      <w:tr w:rsidR="00906D7A" w:rsidRPr="00906D7A" w:rsidTr="00906D7A">
        <w:trPr>
          <w:trHeight w:val="315"/>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nettoindtægter for fortsættende aktiviteter</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1.005</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1.871</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2.037</w:t>
            </w:r>
          </w:p>
        </w:tc>
      </w:tr>
      <w:tr w:rsidR="00906D7A" w:rsidRPr="00906D7A" w:rsidTr="00906D7A">
        <w:trPr>
          <w:trHeight w:val="315"/>
        </w:trPr>
        <w:tc>
          <w:tcPr>
            <w:tcW w:w="3840" w:type="dxa"/>
            <w:tcBorders>
              <w:top w:val="nil"/>
              <w:left w:val="nil"/>
              <w:bottom w:val="single" w:sz="12" w:space="0" w:color="999999"/>
              <w:right w:val="nil"/>
            </w:tcBorders>
            <w:shd w:val="clear" w:color="000000" w:fill="FFFFFF"/>
            <w:vAlign w:val="bottom"/>
            <w:hideMark/>
          </w:tcPr>
          <w:p w:rsidR="00906D7A" w:rsidRPr="00906D7A" w:rsidRDefault="00906D7A" w:rsidP="00906D7A">
            <w:pPr>
              <w:spacing w:after="0" w:line="240" w:lineRule="auto"/>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Nettoresultat</w:t>
            </w:r>
          </w:p>
        </w:tc>
        <w:tc>
          <w:tcPr>
            <w:tcW w:w="960" w:type="dxa"/>
            <w:tcBorders>
              <w:top w:val="nil"/>
              <w:left w:val="nil"/>
              <w:bottom w:val="single" w:sz="12" w:space="0" w:color="999999"/>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1.005</w:t>
            </w:r>
          </w:p>
        </w:tc>
        <w:tc>
          <w:tcPr>
            <w:tcW w:w="960" w:type="dxa"/>
            <w:tcBorders>
              <w:top w:val="nil"/>
              <w:left w:val="nil"/>
              <w:bottom w:val="single" w:sz="12" w:space="0" w:color="999999"/>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1.871</w:t>
            </w:r>
          </w:p>
        </w:tc>
        <w:tc>
          <w:tcPr>
            <w:tcW w:w="960" w:type="dxa"/>
            <w:tcBorders>
              <w:top w:val="nil"/>
              <w:left w:val="nil"/>
              <w:bottom w:val="single" w:sz="12" w:space="0" w:color="999999"/>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b/>
                <w:bCs/>
                <w:color w:val="333333"/>
                <w:sz w:val="16"/>
                <w:szCs w:val="16"/>
                <w:lang w:eastAsia="da-DK"/>
              </w:rPr>
            </w:pPr>
            <w:r w:rsidRPr="00906D7A">
              <w:rPr>
                <w:rFonts w:ascii="Verdana" w:eastAsia="Times New Roman" w:hAnsi="Verdana" w:cs="Times New Roman"/>
                <w:b/>
                <w:bCs/>
                <w:color w:val="333333"/>
                <w:sz w:val="16"/>
                <w:szCs w:val="16"/>
                <w:lang w:eastAsia="da-DK"/>
              </w:rPr>
              <w:t>2.037</w:t>
            </w:r>
          </w:p>
        </w:tc>
      </w:tr>
      <w:tr w:rsidR="00906D7A" w:rsidRPr="00906D7A" w:rsidTr="00906D7A">
        <w:trPr>
          <w:trHeight w:val="480"/>
        </w:trPr>
        <w:tc>
          <w:tcPr>
            <w:tcW w:w="3840" w:type="dxa"/>
            <w:tcBorders>
              <w:top w:val="nil"/>
              <w:left w:val="nil"/>
              <w:bottom w:val="single" w:sz="8" w:space="0" w:color="D6D6D6"/>
              <w:right w:val="nil"/>
            </w:tcBorders>
            <w:shd w:val="clear" w:color="000000" w:fill="FFFFFF"/>
            <w:vAlign w:val="bottom"/>
            <w:hideMark/>
          </w:tcPr>
          <w:p w:rsidR="00906D7A" w:rsidRPr="00906D7A" w:rsidRDefault="00906D7A" w:rsidP="00906D7A">
            <w:pPr>
              <w:spacing w:after="0" w:line="240" w:lineRule="auto"/>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Nettoindkomst til rådighed for de ordinære aktionærer</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1.005</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1.871</w:t>
            </w:r>
          </w:p>
        </w:tc>
        <w:tc>
          <w:tcPr>
            <w:tcW w:w="960" w:type="dxa"/>
            <w:tcBorders>
              <w:top w:val="nil"/>
              <w:left w:val="nil"/>
              <w:bottom w:val="single" w:sz="8" w:space="0" w:color="D6D6D6"/>
              <w:right w:val="nil"/>
            </w:tcBorders>
            <w:shd w:val="clear" w:color="000000" w:fill="FFFFFF"/>
            <w:hideMark/>
          </w:tcPr>
          <w:p w:rsidR="00906D7A" w:rsidRPr="00906D7A" w:rsidRDefault="00906D7A" w:rsidP="00906D7A">
            <w:pPr>
              <w:spacing w:after="0" w:line="240" w:lineRule="auto"/>
              <w:jc w:val="right"/>
              <w:rPr>
                <w:rFonts w:ascii="Verdana" w:eastAsia="Times New Roman" w:hAnsi="Verdana" w:cs="Times New Roman"/>
                <w:color w:val="333333"/>
                <w:sz w:val="16"/>
                <w:szCs w:val="16"/>
                <w:lang w:eastAsia="da-DK"/>
              </w:rPr>
            </w:pPr>
            <w:r w:rsidRPr="00906D7A">
              <w:rPr>
                <w:rFonts w:ascii="Verdana" w:eastAsia="Times New Roman" w:hAnsi="Verdana" w:cs="Times New Roman"/>
                <w:color w:val="333333"/>
                <w:sz w:val="16"/>
                <w:szCs w:val="16"/>
                <w:lang w:eastAsia="da-DK"/>
              </w:rPr>
              <w:t>2.037</w:t>
            </w:r>
          </w:p>
        </w:tc>
      </w:tr>
    </w:tbl>
    <w:p w:rsidR="00906D7A" w:rsidRDefault="00906D7A" w:rsidP="00906D7A">
      <w:pPr>
        <w:pStyle w:val="Overskrift1"/>
        <w:rPr>
          <w:rFonts w:asciiTheme="minorHAnsi" w:hAnsiTheme="minorHAnsi"/>
        </w:rPr>
      </w:pPr>
      <w:r>
        <w:rPr>
          <w:rFonts w:asciiTheme="minorHAnsi" w:hAnsiTheme="minorHAnsi"/>
        </w:rPr>
        <w:br w:type="page"/>
      </w:r>
    </w:p>
    <w:tbl>
      <w:tblPr>
        <w:tblW w:w="7240" w:type="dxa"/>
        <w:tblInd w:w="55" w:type="dxa"/>
        <w:tblCellMar>
          <w:left w:w="70" w:type="dxa"/>
          <w:right w:w="70" w:type="dxa"/>
        </w:tblCellMar>
        <w:tblLook w:val="04A0"/>
      </w:tblPr>
      <w:tblGrid>
        <w:gridCol w:w="4360"/>
        <w:gridCol w:w="960"/>
        <w:gridCol w:w="960"/>
        <w:gridCol w:w="960"/>
      </w:tblGrid>
      <w:tr w:rsidR="00AD4BF1" w:rsidRPr="00AD4BF1" w:rsidTr="00AD4BF1">
        <w:trPr>
          <w:trHeight w:val="300"/>
        </w:trPr>
        <w:tc>
          <w:tcPr>
            <w:tcW w:w="7240" w:type="dxa"/>
            <w:gridSpan w:val="4"/>
            <w:tcBorders>
              <w:top w:val="nil"/>
              <w:left w:val="nil"/>
              <w:bottom w:val="nil"/>
              <w:right w:val="nil"/>
            </w:tcBorders>
            <w:shd w:val="clear" w:color="000000" w:fill="FFFFFF"/>
            <w:noWrap/>
            <w:vAlign w:val="center"/>
            <w:hideMark/>
          </w:tcPr>
          <w:p w:rsidR="00AD4BF1" w:rsidRPr="00AD4BF1" w:rsidRDefault="00AD4BF1" w:rsidP="00AD4BF1">
            <w:pPr>
              <w:spacing w:after="0" w:line="240" w:lineRule="auto"/>
              <w:rPr>
                <w:rFonts w:ascii="Calibri" w:eastAsia="Times New Roman" w:hAnsi="Calibri" w:cs="Times New Roman"/>
                <w:color w:val="000000"/>
                <w:lang w:eastAsia="da-DK"/>
              </w:rPr>
            </w:pPr>
            <w:r w:rsidRPr="00AD4BF1">
              <w:rPr>
                <w:rFonts w:ascii="Calibri" w:eastAsia="Times New Roman" w:hAnsi="Calibri" w:cs="Times New Roman"/>
                <w:color w:val="000000"/>
                <w:sz w:val="22"/>
                <w:lang w:eastAsia="da-DK"/>
              </w:rPr>
              <w:lastRenderedPageBreak/>
              <w:t>Balance</w:t>
            </w:r>
          </w:p>
        </w:tc>
      </w:tr>
      <w:tr w:rsidR="00AD4BF1" w:rsidRPr="00AD4BF1" w:rsidTr="00AD4BF1">
        <w:trPr>
          <w:trHeight w:val="315"/>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 </w:t>
            </w:r>
          </w:p>
        </w:tc>
        <w:tc>
          <w:tcPr>
            <w:tcW w:w="9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2009</w:t>
            </w:r>
          </w:p>
        </w:tc>
        <w:tc>
          <w:tcPr>
            <w:tcW w:w="9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2010</w:t>
            </w:r>
          </w:p>
        </w:tc>
        <w:tc>
          <w:tcPr>
            <w:tcW w:w="9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2011</w:t>
            </w:r>
          </w:p>
        </w:tc>
      </w:tr>
      <w:tr w:rsidR="00AD4BF1" w:rsidRPr="00AD4BF1" w:rsidTr="00AD4BF1">
        <w:trPr>
          <w:trHeight w:val="315"/>
        </w:trPr>
        <w:tc>
          <w:tcPr>
            <w:tcW w:w="7240" w:type="dxa"/>
            <w:gridSpan w:val="4"/>
            <w:tcBorders>
              <w:top w:val="single" w:sz="8" w:space="0" w:color="D6D6D6"/>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100" w:firstLine="16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Aktiver</w:t>
            </w:r>
          </w:p>
        </w:tc>
      </w:tr>
      <w:tr w:rsidR="00AD4BF1" w:rsidRPr="00AD4BF1" w:rsidTr="00AD4BF1">
        <w:trPr>
          <w:trHeight w:val="342"/>
        </w:trPr>
        <w:tc>
          <w:tcPr>
            <w:tcW w:w="7240" w:type="dxa"/>
            <w:gridSpan w:val="4"/>
            <w:tcBorders>
              <w:top w:val="single" w:sz="8" w:space="0" w:color="D6D6D6"/>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Omsætningsaktiver</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500" w:firstLine="80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Likvider</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824</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1.224</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176</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500" w:firstLine="803"/>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Samlede likvider og kortfristede investeringer</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824</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1.224</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176</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Tilgodehavender</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900</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Varebeholdninger</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433</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1.272</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1.609</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Andre omsætningsaktiver</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721</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1.464</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218</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2"/>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Omsætningsaktiver i alt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1.978</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3.960</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2.903</w:t>
            </w:r>
          </w:p>
        </w:tc>
      </w:tr>
      <w:tr w:rsidR="00AD4BF1" w:rsidRPr="00AD4BF1" w:rsidTr="00AD4BF1">
        <w:trPr>
          <w:trHeight w:val="342"/>
        </w:trPr>
        <w:tc>
          <w:tcPr>
            <w:tcW w:w="7240" w:type="dxa"/>
            <w:gridSpan w:val="4"/>
            <w:tcBorders>
              <w:top w:val="single" w:sz="8" w:space="0" w:color="D6D6D6"/>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Anlægsaktiver</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Immaterielle anlægsaktiver</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80</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374</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429</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Immaterielle aktiver</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3.535</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4.490</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4.476</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Udskudt skat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77</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107</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209</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Andre langfristede aktiver</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146</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28</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34</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2"/>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Anlægsaktiver i alt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3.838</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4.999</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5.148</w:t>
            </w:r>
          </w:p>
        </w:tc>
      </w:tr>
      <w:tr w:rsidR="00AD4BF1" w:rsidRPr="00AD4BF1" w:rsidTr="00AD4BF1">
        <w:trPr>
          <w:trHeight w:val="342"/>
        </w:trPr>
        <w:tc>
          <w:tcPr>
            <w:tcW w:w="4360" w:type="dxa"/>
            <w:tcBorders>
              <w:top w:val="nil"/>
              <w:left w:val="nil"/>
              <w:bottom w:val="single" w:sz="12" w:space="0" w:color="999999"/>
              <w:right w:val="nil"/>
            </w:tcBorders>
            <w:shd w:val="clear" w:color="000000" w:fill="FFFFFF"/>
            <w:vAlign w:val="bottom"/>
            <w:hideMark/>
          </w:tcPr>
          <w:p w:rsidR="00AD4BF1" w:rsidRPr="00AD4BF1" w:rsidRDefault="00AD4BF1" w:rsidP="00AD4BF1">
            <w:pPr>
              <w:spacing w:after="0" w:line="240" w:lineRule="auto"/>
              <w:ind w:firstLineChars="100" w:firstLine="161"/>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Aktiver i alt</w:t>
            </w:r>
          </w:p>
        </w:tc>
        <w:tc>
          <w:tcPr>
            <w:tcW w:w="960" w:type="dxa"/>
            <w:tcBorders>
              <w:top w:val="nil"/>
              <w:left w:val="nil"/>
              <w:bottom w:val="single" w:sz="12" w:space="0" w:color="999999"/>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5.816</w:t>
            </w:r>
          </w:p>
        </w:tc>
        <w:tc>
          <w:tcPr>
            <w:tcW w:w="960" w:type="dxa"/>
            <w:tcBorders>
              <w:top w:val="nil"/>
              <w:left w:val="nil"/>
              <w:bottom w:val="single" w:sz="12" w:space="0" w:color="999999"/>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8.959</w:t>
            </w:r>
          </w:p>
        </w:tc>
        <w:tc>
          <w:tcPr>
            <w:tcW w:w="960" w:type="dxa"/>
            <w:tcBorders>
              <w:top w:val="nil"/>
              <w:left w:val="nil"/>
              <w:bottom w:val="single" w:sz="12" w:space="0" w:color="999999"/>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8.051</w:t>
            </w:r>
          </w:p>
        </w:tc>
      </w:tr>
      <w:tr w:rsidR="00AD4BF1" w:rsidRPr="00AD4BF1" w:rsidTr="00AD4BF1">
        <w:trPr>
          <w:trHeight w:val="342"/>
        </w:trPr>
        <w:tc>
          <w:tcPr>
            <w:tcW w:w="7240" w:type="dxa"/>
            <w:gridSpan w:val="4"/>
            <w:tcBorders>
              <w:top w:val="single" w:sz="12" w:space="0" w:color="999999"/>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100" w:firstLine="16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Passiver og egenkapital</w:t>
            </w:r>
          </w:p>
        </w:tc>
      </w:tr>
      <w:tr w:rsidR="00AD4BF1" w:rsidRPr="00AD4BF1" w:rsidTr="00AD4BF1">
        <w:trPr>
          <w:trHeight w:val="342"/>
        </w:trPr>
        <w:tc>
          <w:tcPr>
            <w:tcW w:w="7240" w:type="dxa"/>
            <w:gridSpan w:val="4"/>
            <w:tcBorders>
              <w:top w:val="single" w:sz="8" w:space="0" w:color="D6D6D6"/>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Passiver</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500" w:firstLine="80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kortfristet gæld</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106</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245</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288</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500" w:firstLine="80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Udestående skat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207</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351</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344</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500" w:firstLine="80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Nuværende gæld</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2.326</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10</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500" w:firstLine="80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Anden kortfristet gæld</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588</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562</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1.005</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500" w:firstLine="803"/>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Løbende gæld i alt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900</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3.484</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1.647</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500" w:firstLine="80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Udskudte skatteforpligtelser</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559</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606</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552</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500" w:firstLine="80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Langfristet gæld</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2.703</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0</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375</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500" w:firstLine="80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Anden langfristet gæld</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4</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554</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66</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500" w:firstLine="803"/>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Langfristet gæld i alt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3.267</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1.160</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993</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2"/>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Forpligtelser i alt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4.167</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4.644</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2.640</w:t>
            </w:r>
          </w:p>
        </w:tc>
      </w:tr>
      <w:tr w:rsidR="00AD4BF1" w:rsidRPr="00AD4BF1" w:rsidTr="00AD4BF1">
        <w:trPr>
          <w:trHeight w:val="342"/>
        </w:trPr>
        <w:tc>
          <w:tcPr>
            <w:tcW w:w="7240" w:type="dxa"/>
            <w:gridSpan w:val="4"/>
            <w:tcBorders>
              <w:top w:val="single" w:sz="8" w:space="0" w:color="D6D6D6"/>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Egenkapital</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Yderligere indbetalt kapital</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0</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1.898</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1.963</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Andre Reserver</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Overført resultat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1.275</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1.414</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2.736</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0"/>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Minoritetsinteresser</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197</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0</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color w:val="333333"/>
                <w:sz w:val="16"/>
                <w:szCs w:val="16"/>
                <w:lang w:eastAsia="da-DK"/>
              </w:rPr>
            </w:pPr>
            <w:r w:rsidRPr="00AD4BF1">
              <w:rPr>
                <w:rFonts w:ascii="Verdana" w:eastAsia="Times New Roman" w:hAnsi="Verdana" w:cs="Times New Roman"/>
                <w:color w:val="333333"/>
                <w:sz w:val="16"/>
                <w:szCs w:val="16"/>
                <w:lang w:eastAsia="da-DK"/>
              </w:rPr>
              <w:t>0</w:t>
            </w:r>
          </w:p>
        </w:tc>
      </w:tr>
      <w:tr w:rsidR="00AD4BF1" w:rsidRPr="00AD4BF1" w:rsidTr="00AD4BF1">
        <w:trPr>
          <w:trHeight w:val="342"/>
        </w:trPr>
        <w:tc>
          <w:tcPr>
            <w:tcW w:w="4360" w:type="dxa"/>
            <w:tcBorders>
              <w:top w:val="nil"/>
              <w:left w:val="nil"/>
              <w:bottom w:val="single" w:sz="8" w:space="0" w:color="D6D6D6"/>
              <w:right w:val="nil"/>
            </w:tcBorders>
            <w:shd w:val="clear" w:color="000000" w:fill="FFFFFF"/>
            <w:vAlign w:val="bottom"/>
            <w:hideMark/>
          </w:tcPr>
          <w:p w:rsidR="00AD4BF1" w:rsidRPr="00AD4BF1" w:rsidRDefault="00AD4BF1" w:rsidP="00AD4BF1">
            <w:pPr>
              <w:spacing w:after="0" w:line="240" w:lineRule="auto"/>
              <w:ind w:firstLineChars="300" w:firstLine="482"/>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Egenkapital i alt</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1.648</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4.315</w:t>
            </w:r>
          </w:p>
        </w:tc>
        <w:tc>
          <w:tcPr>
            <w:tcW w:w="960" w:type="dxa"/>
            <w:tcBorders>
              <w:top w:val="nil"/>
              <w:left w:val="nil"/>
              <w:bottom w:val="single" w:sz="8" w:space="0" w:color="D6D6D6"/>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5.411</w:t>
            </w:r>
          </w:p>
        </w:tc>
      </w:tr>
      <w:tr w:rsidR="00AD4BF1" w:rsidRPr="00AD4BF1" w:rsidTr="00AD4BF1">
        <w:trPr>
          <w:trHeight w:val="342"/>
        </w:trPr>
        <w:tc>
          <w:tcPr>
            <w:tcW w:w="4360" w:type="dxa"/>
            <w:tcBorders>
              <w:top w:val="nil"/>
              <w:left w:val="nil"/>
              <w:bottom w:val="single" w:sz="12" w:space="0" w:color="999999"/>
              <w:right w:val="nil"/>
            </w:tcBorders>
            <w:shd w:val="clear" w:color="000000" w:fill="FFFFFF"/>
            <w:vAlign w:val="bottom"/>
            <w:hideMark/>
          </w:tcPr>
          <w:p w:rsidR="00AD4BF1" w:rsidRPr="00AD4BF1" w:rsidRDefault="00AD4BF1" w:rsidP="00AD4BF1">
            <w:pPr>
              <w:spacing w:after="0" w:line="240" w:lineRule="auto"/>
              <w:ind w:firstLineChars="100" w:firstLine="161"/>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Passiver i alt</w:t>
            </w:r>
          </w:p>
        </w:tc>
        <w:tc>
          <w:tcPr>
            <w:tcW w:w="960" w:type="dxa"/>
            <w:tcBorders>
              <w:top w:val="nil"/>
              <w:left w:val="nil"/>
              <w:bottom w:val="single" w:sz="12" w:space="0" w:color="999999"/>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5.816</w:t>
            </w:r>
          </w:p>
        </w:tc>
        <w:tc>
          <w:tcPr>
            <w:tcW w:w="960" w:type="dxa"/>
            <w:tcBorders>
              <w:top w:val="nil"/>
              <w:left w:val="nil"/>
              <w:bottom w:val="single" w:sz="12" w:space="0" w:color="999999"/>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8.959</w:t>
            </w:r>
          </w:p>
        </w:tc>
        <w:tc>
          <w:tcPr>
            <w:tcW w:w="960" w:type="dxa"/>
            <w:tcBorders>
              <w:top w:val="nil"/>
              <w:left w:val="nil"/>
              <w:bottom w:val="single" w:sz="12" w:space="0" w:color="999999"/>
              <w:right w:val="nil"/>
            </w:tcBorders>
            <w:shd w:val="clear" w:color="000000" w:fill="FFFFFF"/>
            <w:hideMark/>
          </w:tcPr>
          <w:p w:rsidR="00AD4BF1" w:rsidRPr="00AD4BF1" w:rsidRDefault="00AD4BF1" w:rsidP="00AD4BF1">
            <w:pPr>
              <w:spacing w:after="0" w:line="240" w:lineRule="auto"/>
              <w:jc w:val="right"/>
              <w:rPr>
                <w:rFonts w:ascii="Verdana" w:eastAsia="Times New Roman" w:hAnsi="Verdana" w:cs="Times New Roman"/>
                <w:b/>
                <w:bCs/>
                <w:color w:val="333333"/>
                <w:sz w:val="16"/>
                <w:szCs w:val="16"/>
                <w:lang w:eastAsia="da-DK"/>
              </w:rPr>
            </w:pPr>
            <w:r w:rsidRPr="00AD4BF1">
              <w:rPr>
                <w:rFonts w:ascii="Verdana" w:eastAsia="Times New Roman" w:hAnsi="Verdana" w:cs="Times New Roman"/>
                <w:b/>
                <w:bCs/>
                <w:color w:val="333333"/>
                <w:sz w:val="16"/>
                <w:szCs w:val="16"/>
                <w:lang w:eastAsia="da-DK"/>
              </w:rPr>
              <w:t>8.051</w:t>
            </w:r>
          </w:p>
        </w:tc>
      </w:tr>
      <w:tr w:rsidR="00AD4BF1" w:rsidRPr="00AD4BF1" w:rsidTr="00AD4BF1">
        <w:trPr>
          <w:trHeight w:val="315"/>
        </w:trPr>
        <w:tc>
          <w:tcPr>
            <w:tcW w:w="4360" w:type="dxa"/>
            <w:tcBorders>
              <w:top w:val="nil"/>
              <w:left w:val="nil"/>
              <w:bottom w:val="nil"/>
              <w:right w:val="nil"/>
            </w:tcBorders>
            <w:shd w:val="clear" w:color="000000" w:fill="FFFFFF"/>
            <w:noWrap/>
            <w:vAlign w:val="bottom"/>
            <w:hideMark/>
          </w:tcPr>
          <w:p w:rsidR="00AD4BF1" w:rsidRPr="00AD4BF1" w:rsidRDefault="00AD4BF1" w:rsidP="00AD4BF1">
            <w:pPr>
              <w:spacing w:after="0" w:line="240" w:lineRule="auto"/>
              <w:rPr>
                <w:rFonts w:ascii="Calibri" w:eastAsia="Times New Roman" w:hAnsi="Calibri" w:cs="Times New Roman"/>
                <w:color w:val="000000"/>
                <w:lang w:eastAsia="da-DK"/>
              </w:rPr>
            </w:pPr>
            <w:r w:rsidRPr="00AD4BF1">
              <w:rPr>
                <w:rFonts w:ascii="Calibri" w:eastAsia="Times New Roman" w:hAnsi="Calibri" w:cs="Times New Roman"/>
                <w:color w:val="000000"/>
                <w:sz w:val="22"/>
                <w:lang w:eastAsia="da-DK"/>
              </w:rPr>
              <w:t> </w:t>
            </w:r>
          </w:p>
        </w:tc>
        <w:tc>
          <w:tcPr>
            <w:tcW w:w="960" w:type="dxa"/>
            <w:tcBorders>
              <w:top w:val="nil"/>
              <w:left w:val="nil"/>
              <w:bottom w:val="nil"/>
              <w:right w:val="nil"/>
            </w:tcBorders>
            <w:shd w:val="clear" w:color="000000" w:fill="FFFFFF"/>
            <w:noWrap/>
            <w:vAlign w:val="bottom"/>
            <w:hideMark/>
          </w:tcPr>
          <w:p w:rsidR="00AD4BF1" w:rsidRPr="00AD4BF1" w:rsidRDefault="00AD4BF1" w:rsidP="00AD4BF1">
            <w:pPr>
              <w:spacing w:after="0" w:line="240" w:lineRule="auto"/>
              <w:rPr>
                <w:rFonts w:ascii="Calibri" w:eastAsia="Times New Roman" w:hAnsi="Calibri" w:cs="Times New Roman"/>
                <w:color w:val="000000"/>
                <w:lang w:eastAsia="da-DK"/>
              </w:rPr>
            </w:pPr>
            <w:r w:rsidRPr="00AD4BF1">
              <w:rPr>
                <w:rFonts w:ascii="Calibri" w:eastAsia="Times New Roman" w:hAnsi="Calibri" w:cs="Times New Roman"/>
                <w:color w:val="000000"/>
                <w:sz w:val="22"/>
                <w:lang w:eastAsia="da-DK"/>
              </w:rPr>
              <w:t> </w:t>
            </w:r>
          </w:p>
        </w:tc>
        <w:tc>
          <w:tcPr>
            <w:tcW w:w="960" w:type="dxa"/>
            <w:tcBorders>
              <w:top w:val="nil"/>
              <w:left w:val="nil"/>
              <w:bottom w:val="nil"/>
              <w:right w:val="nil"/>
            </w:tcBorders>
            <w:shd w:val="clear" w:color="000000" w:fill="FFFFFF"/>
            <w:noWrap/>
            <w:vAlign w:val="bottom"/>
            <w:hideMark/>
          </w:tcPr>
          <w:p w:rsidR="00AD4BF1" w:rsidRPr="00AD4BF1" w:rsidRDefault="00AD4BF1" w:rsidP="00AD4BF1">
            <w:pPr>
              <w:spacing w:after="0" w:line="240" w:lineRule="auto"/>
              <w:rPr>
                <w:rFonts w:ascii="Calibri" w:eastAsia="Times New Roman" w:hAnsi="Calibri" w:cs="Times New Roman"/>
                <w:color w:val="000000"/>
                <w:lang w:eastAsia="da-DK"/>
              </w:rPr>
            </w:pPr>
            <w:r w:rsidRPr="00AD4BF1">
              <w:rPr>
                <w:rFonts w:ascii="Calibri" w:eastAsia="Times New Roman" w:hAnsi="Calibri" w:cs="Times New Roman"/>
                <w:color w:val="000000"/>
                <w:sz w:val="22"/>
                <w:lang w:eastAsia="da-DK"/>
              </w:rPr>
              <w:t> </w:t>
            </w:r>
          </w:p>
        </w:tc>
        <w:tc>
          <w:tcPr>
            <w:tcW w:w="960" w:type="dxa"/>
            <w:tcBorders>
              <w:top w:val="nil"/>
              <w:left w:val="nil"/>
              <w:bottom w:val="nil"/>
              <w:right w:val="nil"/>
            </w:tcBorders>
            <w:shd w:val="clear" w:color="000000" w:fill="FFFFFF"/>
            <w:noWrap/>
            <w:vAlign w:val="bottom"/>
            <w:hideMark/>
          </w:tcPr>
          <w:p w:rsidR="00AD4BF1" w:rsidRPr="00AD4BF1" w:rsidRDefault="00AD4BF1" w:rsidP="00AD4BF1">
            <w:pPr>
              <w:spacing w:after="0" w:line="240" w:lineRule="auto"/>
              <w:rPr>
                <w:rFonts w:ascii="Calibri" w:eastAsia="Times New Roman" w:hAnsi="Calibri" w:cs="Times New Roman"/>
                <w:color w:val="000000"/>
                <w:lang w:eastAsia="da-DK"/>
              </w:rPr>
            </w:pPr>
            <w:r w:rsidRPr="00AD4BF1">
              <w:rPr>
                <w:rFonts w:ascii="Calibri" w:eastAsia="Times New Roman" w:hAnsi="Calibri" w:cs="Times New Roman"/>
                <w:color w:val="000000"/>
                <w:sz w:val="22"/>
                <w:lang w:eastAsia="da-DK"/>
              </w:rPr>
              <w:t> </w:t>
            </w:r>
          </w:p>
        </w:tc>
      </w:tr>
    </w:tbl>
    <w:p w:rsidR="00080376" w:rsidRDefault="00080376" w:rsidP="00080376">
      <w:pPr>
        <w:rPr>
          <w:szCs w:val="24"/>
        </w:rPr>
      </w:pPr>
      <w:bookmarkStart w:id="17" w:name="_GoBack"/>
      <w:bookmarkEnd w:id="17"/>
    </w:p>
    <w:sectPr w:rsidR="00080376" w:rsidSect="006F1CC8">
      <w:headerReference w:type="default" r:id="rId27"/>
      <w:footerReference w:type="default" r:id="rId28"/>
      <w:pgSz w:w="11906" w:h="16838"/>
      <w:pgMar w:top="1418"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39" w:rsidRDefault="00961E39" w:rsidP="000D6CA7">
      <w:pPr>
        <w:spacing w:after="0" w:line="240" w:lineRule="auto"/>
      </w:pPr>
      <w:r>
        <w:separator/>
      </w:r>
    </w:p>
  </w:endnote>
  <w:endnote w:type="continuationSeparator" w:id="0">
    <w:p w:rsidR="00961E39" w:rsidRDefault="00961E39" w:rsidP="000D6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456821"/>
      <w:docPartObj>
        <w:docPartGallery w:val="Page Numbers (Bottom of Page)"/>
        <w:docPartUnique/>
      </w:docPartObj>
    </w:sdtPr>
    <w:sdtContent>
      <w:p w:rsidR="00961E39" w:rsidRDefault="00961E39" w:rsidP="00E13E27">
        <w:pPr>
          <w:pStyle w:val="Sidefod"/>
          <w:jc w:val="center"/>
        </w:pPr>
        <w:fldSimple w:instr="PAGE   \* MERGEFORMAT">
          <w:r w:rsidR="004B0F02">
            <w:rPr>
              <w:noProof/>
            </w:rPr>
            <w:t>10</w:t>
          </w:r>
        </w:fldSimple>
      </w:p>
    </w:sdtContent>
  </w:sdt>
  <w:p w:rsidR="00961E39" w:rsidRDefault="00961E3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39" w:rsidRDefault="00961E39" w:rsidP="000D6CA7">
      <w:pPr>
        <w:spacing w:after="0" w:line="240" w:lineRule="auto"/>
      </w:pPr>
      <w:r>
        <w:separator/>
      </w:r>
    </w:p>
  </w:footnote>
  <w:footnote w:type="continuationSeparator" w:id="0">
    <w:p w:rsidR="00961E39" w:rsidRDefault="00961E39" w:rsidP="000D6CA7">
      <w:pPr>
        <w:spacing w:after="0" w:line="240" w:lineRule="auto"/>
      </w:pPr>
      <w:r>
        <w:continuationSeparator/>
      </w:r>
    </w:p>
  </w:footnote>
  <w:footnote w:id="1">
    <w:p w:rsidR="00961E39" w:rsidRDefault="00961E39">
      <w:pPr>
        <w:pStyle w:val="Fodnotetekst"/>
      </w:pPr>
      <w:r>
        <w:rPr>
          <w:rStyle w:val="Fodnotehenvisning"/>
        </w:rPr>
        <w:footnoteRef/>
      </w:r>
      <w:r>
        <w:t xml:space="preserve"> </w:t>
      </w:r>
      <w:hyperlink r:id="rId1" w:history="1">
        <w:r>
          <w:rPr>
            <w:rStyle w:val="Hyperlink"/>
          </w:rPr>
          <w:t>http://investor.en.pandora.net/</w:t>
        </w:r>
      </w:hyperlink>
    </w:p>
  </w:footnote>
  <w:footnote w:id="2">
    <w:p w:rsidR="00961E39" w:rsidRDefault="00961E39" w:rsidP="00080376">
      <w:pPr>
        <w:pStyle w:val="Fodnotetekst"/>
      </w:pPr>
      <w:r>
        <w:rPr>
          <w:rStyle w:val="Fodnotehenvisning"/>
        </w:rPr>
        <w:footnoteRef/>
      </w:r>
      <w:r>
        <w:t xml:space="preserve"> </w:t>
      </w:r>
      <w:r w:rsidRPr="002944CF">
        <w:t>Elling m.fl. 2005, side 50-56</w:t>
      </w:r>
    </w:p>
  </w:footnote>
  <w:footnote w:id="3">
    <w:p w:rsidR="00961E39" w:rsidRDefault="00961E39" w:rsidP="00080376">
      <w:pPr>
        <w:pStyle w:val="Fodnotetekst"/>
      </w:pPr>
      <w:r>
        <w:rPr>
          <w:rStyle w:val="Fodnotehenvisning"/>
        </w:rPr>
        <w:footnoteRef/>
      </w:r>
      <w:r>
        <w:t xml:space="preserve"> </w:t>
      </w:r>
      <w:r w:rsidRPr="008E0F3C">
        <w:t>http://en.wikipedia.org/wiki/Capital_asset_pricing_model</w:t>
      </w:r>
    </w:p>
  </w:footnote>
  <w:footnote w:id="4">
    <w:p w:rsidR="00961E39" w:rsidRDefault="00961E39">
      <w:pPr>
        <w:pStyle w:val="Fodnotetekst"/>
      </w:pPr>
      <w:r>
        <w:rPr>
          <w:rStyle w:val="Fodnotehenvisning"/>
        </w:rPr>
        <w:footnoteRef/>
      </w:r>
      <w:r>
        <w:t xml:space="preserve"> </w:t>
      </w:r>
      <w:hyperlink r:id="rId2" w:history="1">
        <w:r w:rsidRPr="008572B6">
          <w:rPr>
            <w:rStyle w:val="Hyperlink"/>
          </w:rPr>
          <w:t>http://www.proinvestor.com/aktier/pandora/PNDORA.CO</w:t>
        </w:r>
      </w:hyperlink>
      <w:r>
        <w:t xml:space="preserve"> d.10-</w:t>
      </w:r>
      <w:proofErr w:type="gramStart"/>
      <w:r>
        <w:t>12.2012</w:t>
      </w:r>
      <w:proofErr w:type="gramEnd"/>
    </w:p>
  </w:footnote>
  <w:footnote w:id="5">
    <w:p w:rsidR="00961E39" w:rsidRDefault="00961E39" w:rsidP="00080376">
      <w:pPr>
        <w:pStyle w:val="Fodnotetekst"/>
      </w:pPr>
      <w:r>
        <w:rPr>
          <w:rStyle w:val="Fodnotehenvisning"/>
        </w:rPr>
        <w:footnoteRef/>
      </w:r>
      <w:r>
        <w:t xml:space="preserve"> </w:t>
      </w:r>
      <w:r w:rsidRPr="0019235B">
        <w:t>http://www.ifr.dk</w:t>
      </w:r>
    </w:p>
  </w:footnote>
  <w:footnote w:id="6">
    <w:p w:rsidR="00961E39" w:rsidRDefault="00961E39" w:rsidP="00080376">
      <w:pPr>
        <w:pStyle w:val="Fodnotetekst"/>
      </w:pPr>
      <w:r>
        <w:rPr>
          <w:rStyle w:val="Fodnotehenvisning"/>
        </w:rPr>
        <w:footnoteRef/>
      </w:r>
      <w:r>
        <w:t xml:space="preserve"> </w:t>
      </w:r>
      <w:r w:rsidRPr="0019235B">
        <w:t>http://www.ifr.dk</w:t>
      </w:r>
    </w:p>
  </w:footnote>
  <w:footnote w:id="7">
    <w:p w:rsidR="00961E39" w:rsidRDefault="00961E39" w:rsidP="00080376">
      <w:pPr>
        <w:pStyle w:val="Fodnotetekst"/>
      </w:pPr>
      <w:r>
        <w:rPr>
          <w:rStyle w:val="Fodnotehenvisning"/>
        </w:rPr>
        <w:footnoteRef/>
      </w:r>
      <w:r>
        <w:t xml:space="preserve"> http://nationalbanken.dk/C1256BE2005737D3/side/Risikopraemien_paa_aktier/$file/2003_kvo1_ris73.pdf  </w:t>
      </w:r>
    </w:p>
  </w:footnote>
  <w:footnote w:id="8">
    <w:p w:rsidR="00961E39" w:rsidRDefault="00961E39" w:rsidP="00080376">
      <w:pPr>
        <w:pStyle w:val="Fodnotetekst"/>
      </w:pPr>
      <w:r>
        <w:rPr>
          <w:rStyle w:val="Fodnotehenvisning"/>
        </w:rPr>
        <w:footnoteRef/>
      </w:r>
      <w:r>
        <w:t xml:space="preserve"> </w:t>
      </w:r>
      <w:r w:rsidRPr="00E350FF">
        <w:t>http://www.soliditet.dk/cms/soliditet/Solutions/AssessmentModels/AAARatingModel/RatingGuideline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39" w:rsidRDefault="00961E39">
    <w:pPr>
      <w:pStyle w:val="Sidehoved"/>
    </w:pPr>
    <w:r>
      <w:t xml:space="preserve"> Case til inspiration til eksamen i økonomistyring 2013</w:t>
    </w:r>
  </w:p>
  <w:p w:rsidR="00961E39" w:rsidRDefault="00961E3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415"/>
    <w:multiLevelType w:val="hybridMultilevel"/>
    <w:tmpl w:val="B0843068"/>
    <w:lvl w:ilvl="0" w:tplc="63CE3954">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nsid w:val="1AA26F4E"/>
    <w:multiLevelType w:val="hybridMultilevel"/>
    <w:tmpl w:val="8A1CF4F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nsid w:val="1EF842E6"/>
    <w:multiLevelType w:val="hybridMultilevel"/>
    <w:tmpl w:val="DE166E22"/>
    <w:lvl w:ilvl="0" w:tplc="48848312">
      <w:start w:val="20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ABA1FA6"/>
    <w:multiLevelType w:val="hybridMultilevel"/>
    <w:tmpl w:val="8106532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nsid w:val="66B56BD3"/>
    <w:multiLevelType w:val="hybridMultilevel"/>
    <w:tmpl w:val="B3C63C70"/>
    <w:lvl w:ilvl="0" w:tplc="5C8034A6">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5">
    <w:nsid w:val="69412580"/>
    <w:multiLevelType w:val="hybridMultilevel"/>
    <w:tmpl w:val="6F988608"/>
    <w:lvl w:ilvl="0" w:tplc="DBF8393E">
      <w:numFmt w:val="bullet"/>
      <w:lvlText w:val="-"/>
      <w:lvlJc w:val="left"/>
      <w:pPr>
        <w:ind w:left="720" w:hanging="360"/>
      </w:pPr>
      <w:rPr>
        <w:rFonts w:ascii="Arial" w:eastAsia="TimesNew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footnotePr>
    <w:footnote w:id="-1"/>
    <w:footnote w:id="0"/>
  </w:footnotePr>
  <w:endnotePr>
    <w:endnote w:id="-1"/>
    <w:endnote w:id="0"/>
  </w:endnotePr>
  <w:compat/>
  <w:rsids>
    <w:rsidRoot w:val="00DB5D35"/>
    <w:rsid w:val="00003BA2"/>
    <w:rsid w:val="00013B53"/>
    <w:rsid w:val="00014601"/>
    <w:rsid w:val="00015B48"/>
    <w:rsid w:val="000220FB"/>
    <w:rsid w:val="00030EE2"/>
    <w:rsid w:val="000352E2"/>
    <w:rsid w:val="00035E9E"/>
    <w:rsid w:val="00036AFC"/>
    <w:rsid w:val="000401EB"/>
    <w:rsid w:val="000408B2"/>
    <w:rsid w:val="000508B4"/>
    <w:rsid w:val="00054E51"/>
    <w:rsid w:val="00056D7C"/>
    <w:rsid w:val="00056EAF"/>
    <w:rsid w:val="000571B4"/>
    <w:rsid w:val="00063E41"/>
    <w:rsid w:val="00072668"/>
    <w:rsid w:val="00074679"/>
    <w:rsid w:val="00080376"/>
    <w:rsid w:val="000820C1"/>
    <w:rsid w:val="00087AF9"/>
    <w:rsid w:val="000914EA"/>
    <w:rsid w:val="00097323"/>
    <w:rsid w:val="000A0ADB"/>
    <w:rsid w:val="000B11A3"/>
    <w:rsid w:val="000B1A86"/>
    <w:rsid w:val="000C2438"/>
    <w:rsid w:val="000C34D8"/>
    <w:rsid w:val="000C4B9E"/>
    <w:rsid w:val="000C5CAD"/>
    <w:rsid w:val="000D3962"/>
    <w:rsid w:val="000D3A49"/>
    <w:rsid w:val="000D6CA7"/>
    <w:rsid w:val="000F2A6E"/>
    <w:rsid w:val="00100AF6"/>
    <w:rsid w:val="00102903"/>
    <w:rsid w:val="0010363E"/>
    <w:rsid w:val="00121C5F"/>
    <w:rsid w:val="00132911"/>
    <w:rsid w:val="00133121"/>
    <w:rsid w:val="00136626"/>
    <w:rsid w:val="00136B4D"/>
    <w:rsid w:val="001403F1"/>
    <w:rsid w:val="00143AA8"/>
    <w:rsid w:val="001440D6"/>
    <w:rsid w:val="00144C90"/>
    <w:rsid w:val="001548C8"/>
    <w:rsid w:val="00154EF2"/>
    <w:rsid w:val="00174DCC"/>
    <w:rsid w:val="001777DD"/>
    <w:rsid w:val="00186818"/>
    <w:rsid w:val="00190BD9"/>
    <w:rsid w:val="00193797"/>
    <w:rsid w:val="001A0E29"/>
    <w:rsid w:val="001A569E"/>
    <w:rsid w:val="001A70F1"/>
    <w:rsid w:val="001A7F42"/>
    <w:rsid w:val="001B0033"/>
    <w:rsid w:val="001B2023"/>
    <w:rsid w:val="001B47A6"/>
    <w:rsid w:val="001B7358"/>
    <w:rsid w:val="001C17EF"/>
    <w:rsid w:val="001C291B"/>
    <w:rsid w:val="001C77D6"/>
    <w:rsid w:val="001D6C13"/>
    <w:rsid w:val="001D74C7"/>
    <w:rsid w:val="001E7AD1"/>
    <w:rsid w:val="001F5370"/>
    <w:rsid w:val="00200D31"/>
    <w:rsid w:val="00204692"/>
    <w:rsid w:val="0020502E"/>
    <w:rsid w:val="00205B64"/>
    <w:rsid w:val="00206F33"/>
    <w:rsid w:val="00216A67"/>
    <w:rsid w:val="0022478B"/>
    <w:rsid w:val="00242D6E"/>
    <w:rsid w:val="00242DE8"/>
    <w:rsid w:val="00243929"/>
    <w:rsid w:val="002548E7"/>
    <w:rsid w:val="002559A0"/>
    <w:rsid w:val="00261C01"/>
    <w:rsid w:val="00264F93"/>
    <w:rsid w:val="00265E64"/>
    <w:rsid w:val="00273F0E"/>
    <w:rsid w:val="0028001B"/>
    <w:rsid w:val="00283DB5"/>
    <w:rsid w:val="002876D7"/>
    <w:rsid w:val="002916D9"/>
    <w:rsid w:val="002A0493"/>
    <w:rsid w:val="002A5291"/>
    <w:rsid w:val="002D164C"/>
    <w:rsid w:val="002D4621"/>
    <w:rsid w:val="002D5916"/>
    <w:rsid w:val="002D7921"/>
    <w:rsid w:val="002E4485"/>
    <w:rsid w:val="002E534F"/>
    <w:rsid w:val="002E5F1B"/>
    <w:rsid w:val="002E6BB5"/>
    <w:rsid w:val="002E7B48"/>
    <w:rsid w:val="002F2DC9"/>
    <w:rsid w:val="002F5985"/>
    <w:rsid w:val="00305EFE"/>
    <w:rsid w:val="00306ACF"/>
    <w:rsid w:val="00320C3E"/>
    <w:rsid w:val="0032342E"/>
    <w:rsid w:val="00325D50"/>
    <w:rsid w:val="003261D5"/>
    <w:rsid w:val="003364F4"/>
    <w:rsid w:val="00340D9E"/>
    <w:rsid w:val="0035104E"/>
    <w:rsid w:val="00363E0A"/>
    <w:rsid w:val="0036585E"/>
    <w:rsid w:val="00365D8B"/>
    <w:rsid w:val="0037030A"/>
    <w:rsid w:val="00370384"/>
    <w:rsid w:val="0037757A"/>
    <w:rsid w:val="0038634B"/>
    <w:rsid w:val="003928F2"/>
    <w:rsid w:val="0039530C"/>
    <w:rsid w:val="003A1BCC"/>
    <w:rsid w:val="003A2F0C"/>
    <w:rsid w:val="003B231F"/>
    <w:rsid w:val="003B32EE"/>
    <w:rsid w:val="003C2508"/>
    <w:rsid w:val="003C6ABF"/>
    <w:rsid w:val="003D2003"/>
    <w:rsid w:val="003E054F"/>
    <w:rsid w:val="003E43EC"/>
    <w:rsid w:val="003E4B17"/>
    <w:rsid w:val="003E50A6"/>
    <w:rsid w:val="003F0247"/>
    <w:rsid w:val="003F3DE6"/>
    <w:rsid w:val="003F544D"/>
    <w:rsid w:val="004118A5"/>
    <w:rsid w:val="004142B4"/>
    <w:rsid w:val="00431CCC"/>
    <w:rsid w:val="004339D5"/>
    <w:rsid w:val="00434FC3"/>
    <w:rsid w:val="00447B0C"/>
    <w:rsid w:val="00454698"/>
    <w:rsid w:val="004551E5"/>
    <w:rsid w:val="00455829"/>
    <w:rsid w:val="004617A6"/>
    <w:rsid w:val="004647A9"/>
    <w:rsid w:val="00465BA2"/>
    <w:rsid w:val="0047712F"/>
    <w:rsid w:val="0048510F"/>
    <w:rsid w:val="00486641"/>
    <w:rsid w:val="0049438C"/>
    <w:rsid w:val="004A7AAB"/>
    <w:rsid w:val="004B0C94"/>
    <w:rsid w:val="004B0F02"/>
    <w:rsid w:val="004C42E5"/>
    <w:rsid w:val="004D084C"/>
    <w:rsid w:val="004E2A86"/>
    <w:rsid w:val="004E2DAD"/>
    <w:rsid w:val="004E4007"/>
    <w:rsid w:val="004F187E"/>
    <w:rsid w:val="004F2256"/>
    <w:rsid w:val="005072D0"/>
    <w:rsid w:val="00512397"/>
    <w:rsid w:val="00512AE6"/>
    <w:rsid w:val="0052197B"/>
    <w:rsid w:val="005225BD"/>
    <w:rsid w:val="005304CD"/>
    <w:rsid w:val="00530EA8"/>
    <w:rsid w:val="005351DB"/>
    <w:rsid w:val="00557F4A"/>
    <w:rsid w:val="0056076E"/>
    <w:rsid w:val="0056125E"/>
    <w:rsid w:val="005615FF"/>
    <w:rsid w:val="00563868"/>
    <w:rsid w:val="005670FC"/>
    <w:rsid w:val="005728BE"/>
    <w:rsid w:val="00573D64"/>
    <w:rsid w:val="00573E07"/>
    <w:rsid w:val="00574701"/>
    <w:rsid w:val="0057690F"/>
    <w:rsid w:val="00582480"/>
    <w:rsid w:val="00586A69"/>
    <w:rsid w:val="005927D3"/>
    <w:rsid w:val="00592F2E"/>
    <w:rsid w:val="005945B3"/>
    <w:rsid w:val="0059582C"/>
    <w:rsid w:val="005B354B"/>
    <w:rsid w:val="005B5038"/>
    <w:rsid w:val="005C1E9F"/>
    <w:rsid w:val="005C7D2E"/>
    <w:rsid w:val="005D00EE"/>
    <w:rsid w:val="005D2804"/>
    <w:rsid w:val="005D40D1"/>
    <w:rsid w:val="005E5A79"/>
    <w:rsid w:val="005F4589"/>
    <w:rsid w:val="005F58A5"/>
    <w:rsid w:val="005F5F71"/>
    <w:rsid w:val="00602075"/>
    <w:rsid w:val="0060459F"/>
    <w:rsid w:val="006118B3"/>
    <w:rsid w:val="00620AD7"/>
    <w:rsid w:val="00622A7C"/>
    <w:rsid w:val="0063192F"/>
    <w:rsid w:val="00632CE9"/>
    <w:rsid w:val="00651C50"/>
    <w:rsid w:val="00652CA0"/>
    <w:rsid w:val="00664489"/>
    <w:rsid w:val="00670E1A"/>
    <w:rsid w:val="00677F19"/>
    <w:rsid w:val="00680A92"/>
    <w:rsid w:val="006913F1"/>
    <w:rsid w:val="00691B15"/>
    <w:rsid w:val="006C2FCD"/>
    <w:rsid w:val="006C5CDF"/>
    <w:rsid w:val="006C5EA1"/>
    <w:rsid w:val="006C7439"/>
    <w:rsid w:val="006E1D9C"/>
    <w:rsid w:val="006E322F"/>
    <w:rsid w:val="006E5927"/>
    <w:rsid w:val="006F1B2F"/>
    <w:rsid w:val="006F1CC8"/>
    <w:rsid w:val="006F5CDD"/>
    <w:rsid w:val="006F70A4"/>
    <w:rsid w:val="006F762A"/>
    <w:rsid w:val="00705B31"/>
    <w:rsid w:val="007115D1"/>
    <w:rsid w:val="00713984"/>
    <w:rsid w:val="0073184B"/>
    <w:rsid w:val="00731A6A"/>
    <w:rsid w:val="00755E66"/>
    <w:rsid w:val="00760DAD"/>
    <w:rsid w:val="00761F42"/>
    <w:rsid w:val="00766AEB"/>
    <w:rsid w:val="0077083F"/>
    <w:rsid w:val="00775D95"/>
    <w:rsid w:val="00783B3D"/>
    <w:rsid w:val="00786D09"/>
    <w:rsid w:val="00796A6C"/>
    <w:rsid w:val="00797B54"/>
    <w:rsid w:val="007A12C8"/>
    <w:rsid w:val="007A1A87"/>
    <w:rsid w:val="007A29CC"/>
    <w:rsid w:val="007B4A06"/>
    <w:rsid w:val="007C26EA"/>
    <w:rsid w:val="007C7BDB"/>
    <w:rsid w:val="007D23C2"/>
    <w:rsid w:val="007D2B8E"/>
    <w:rsid w:val="007E46C7"/>
    <w:rsid w:val="007F3223"/>
    <w:rsid w:val="007F342E"/>
    <w:rsid w:val="007F3ED4"/>
    <w:rsid w:val="007F64D4"/>
    <w:rsid w:val="00801C1B"/>
    <w:rsid w:val="0080324F"/>
    <w:rsid w:val="008118CC"/>
    <w:rsid w:val="008161A7"/>
    <w:rsid w:val="00824BBD"/>
    <w:rsid w:val="00824D32"/>
    <w:rsid w:val="00825E3F"/>
    <w:rsid w:val="00844DFC"/>
    <w:rsid w:val="00846682"/>
    <w:rsid w:val="0084685D"/>
    <w:rsid w:val="00847A98"/>
    <w:rsid w:val="0085467C"/>
    <w:rsid w:val="00856301"/>
    <w:rsid w:val="00861714"/>
    <w:rsid w:val="00862DA8"/>
    <w:rsid w:val="0088505D"/>
    <w:rsid w:val="00896FF6"/>
    <w:rsid w:val="008A1FD3"/>
    <w:rsid w:val="008A6ECB"/>
    <w:rsid w:val="008A7B41"/>
    <w:rsid w:val="008B2206"/>
    <w:rsid w:val="008B5D35"/>
    <w:rsid w:val="008D63B5"/>
    <w:rsid w:val="008D6AB9"/>
    <w:rsid w:val="008D7C04"/>
    <w:rsid w:val="008E16A4"/>
    <w:rsid w:val="008F34C8"/>
    <w:rsid w:val="008F3923"/>
    <w:rsid w:val="008F5707"/>
    <w:rsid w:val="00903028"/>
    <w:rsid w:val="0090513D"/>
    <w:rsid w:val="00906D7A"/>
    <w:rsid w:val="00911BF1"/>
    <w:rsid w:val="00917BD9"/>
    <w:rsid w:val="00921F78"/>
    <w:rsid w:val="009223F7"/>
    <w:rsid w:val="009232AC"/>
    <w:rsid w:val="00927CB5"/>
    <w:rsid w:val="00934684"/>
    <w:rsid w:val="0093519B"/>
    <w:rsid w:val="00950898"/>
    <w:rsid w:val="00957E16"/>
    <w:rsid w:val="00961E39"/>
    <w:rsid w:val="00962096"/>
    <w:rsid w:val="009721C0"/>
    <w:rsid w:val="009723F0"/>
    <w:rsid w:val="00980BE1"/>
    <w:rsid w:val="00982239"/>
    <w:rsid w:val="0099054C"/>
    <w:rsid w:val="00995C7D"/>
    <w:rsid w:val="009A52B0"/>
    <w:rsid w:val="009B6750"/>
    <w:rsid w:val="009B73DB"/>
    <w:rsid w:val="009C4727"/>
    <w:rsid w:val="009C6896"/>
    <w:rsid w:val="009E762F"/>
    <w:rsid w:val="009E7725"/>
    <w:rsid w:val="009F0097"/>
    <w:rsid w:val="009F45D5"/>
    <w:rsid w:val="009F6F08"/>
    <w:rsid w:val="00A021FE"/>
    <w:rsid w:val="00A02F5D"/>
    <w:rsid w:val="00A107AA"/>
    <w:rsid w:val="00A17555"/>
    <w:rsid w:val="00A2158A"/>
    <w:rsid w:val="00A27EDD"/>
    <w:rsid w:val="00A327D7"/>
    <w:rsid w:val="00A3698B"/>
    <w:rsid w:val="00A46E23"/>
    <w:rsid w:val="00A56397"/>
    <w:rsid w:val="00A62C62"/>
    <w:rsid w:val="00A6592F"/>
    <w:rsid w:val="00A67A38"/>
    <w:rsid w:val="00A71651"/>
    <w:rsid w:val="00A71C52"/>
    <w:rsid w:val="00A72E94"/>
    <w:rsid w:val="00A74E13"/>
    <w:rsid w:val="00A8406C"/>
    <w:rsid w:val="00A93E48"/>
    <w:rsid w:val="00A95BD6"/>
    <w:rsid w:val="00A95D79"/>
    <w:rsid w:val="00AA3757"/>
    <w:rsid w:val="00AA7676"/>
    <w:rsid w:val="00AB34B8"/>
    <w:rsid w:val="00AB486C"/>
    <w:rsid w:val="00AB57FE"/>
    <w:rsid w:val="00AC4956"/>
    <w:rsid w:val="00AC621A"/>
    <w:rsid w:val="00AD4BF1"/>
    <w:rsid w:val="00AD550D"/>
    <w:rsid w:val="00AE6C10"/>
    <w:rsid w:val="00AF1F07"/>
    <w:rsid w:val="00AF790E"/>
    <w:rsid w:val="00B00500"/>
    <w:rsid w:val="00B171AB"/>
    <w:rsid w:val="00B17DF0"/>
    <w:rsid w:val="00B20541"/>
    <w:rsid w:val="00B242D0"/>
    <w:rsid w:val="00B32955"/>
    <w:rsid w:val="00B40612"/>
    <w:rsid w:val="00B408C5"/>
    <w:rsid w:val="00B46F2A"/>
    <w:rsid w:val="00B651B1"/>
    <w:rsid w:val="00B65213"/>
    <w:rsid w:val="00B7038B"/>
    <w:rsid w:val="00B7111E"/>
    <w:rsid w:val="00B71CE9"/>
    <w:rsid w:val="00B7690D"/>
    <w:rsid w:val="00B81C26"/>
    <w:rsid w:val="00B95DD7"/>
    <w:rsid w:val="00BA0D3D"/>
    <w:rsid w:val="00BA1485"/>
    <w:rsid w:val="00BA6018"/>
    <w:rsid w:val="00BB311B"/>
    <w:rsid w:val="00BB3965"/>
    <w:rsid w:val="00BB78F8"/>
    <w:rsid w:val="00BD5817"/>
    <w:rsid w:val="00BD5CA2"/>
    <w:rsid w:val="00BE0A57"/>
    <w:rsid w:val="00BF7537"/>
    <w:rsid w:val="00C02992"/>
    <w:rsid w:val="00C076B3"/>
    <w:rsid w:val="00C106D8"/>
    <w:rsid w:val="00C22137"/>
    <w:rsid w:val="00C24A7B"/>
    <w:rsid w:val="00C311C0"/>
    <w:rsid w:val="00C4362B"/>
    <w:rsid w:val="00C5184C"/>
    <w:rsid w:val="00C56A48"/>
    <w:rsid w:val="00C56AB1"/>
    <w:rsid w:val="00C56DDB"/>
    <w:rsid w:val="00C63D50"/>
    <w:rsid w:val="00C64BBE"/>
    <w:rsid w:val="00C91B3C"/>
    <w:rsid w:val="00CA00C2"/>
    <w:rsid w:val="00CA249E"/>
    <w:rsid w:val="00CA24E7"/>
    <w:rsid w:val="00CB1D53"/>
    <w:rsid w:val="00CC7362"/>
    <w:rsid w:val="00CD690D"/>
    <w:rsid w:val="00CD71B5"/>
    <w:rsid w:val="00CE29F0"/>
    <w:rsid w:val="00CF080C"/>
    <w:rsid w:val="00CF09A4"/>
    <w:rsid w:val="00CF3C0F"/>
    <w:rsid w:val="00CF5C92"/>
    <w:rsid w:val="00D15A9A"/>
    <w:rsid w:val="00D15AA5"/>
    <w:rsid w:val="00D26770"/>
    <w:rsid w:val="00D27E1B"/>
    <w:rsid w:val="00D356C6"/>
    <w:rsid w:val="00D378B3"/>
    <w:rsid w:val="00D42C5E"/>
    <w:rsid w:val="00D4495D"/>
    <w:rsid w:val="00D46918"/>
    <w:rsid w:val="00D46B80"/>
    <w:rsid w:val="00D53E85"/>
    <w:rsid w:val="00D552F6"/>
    <w:rsid w:val="00D57A44"/>
    <w:rsid w:val="00D65B72"/>
    <w:rsid w:val="00D805D1"/>
    <w:rsid w:val="00DB5D35"/>
    <w:rsid w:val="00DB67EC"/>
    <w:rsid w:val="00DC2046"/>
    <w:rsid w:val="00DC458C"/>
    <w:rsid w:val="00DC6919"/>
    <w:rsid w:val="00DD4B79"/>
    <w:rsid w:val="00DE1593"/>
    <w:rsid w:val="00DE3FD7"/>
    <w:rsid w:val="00DE4EA5"/>
    <w:rsid w:val="00DE7600"/>
    <w:rsid w:val="00DF2828"/>
    <w:rsid w:val="00E07B4D"/>
    <w:rsid w:val="00E13E27"/>
    <w:rsid w:val="00E20431"/>
    <w:rsid w:val="00E224D2"/>
    <w:rsid w:val="00E25592"/>
    <w:rsid w:val="00E3291B"/>
    <w:rsid w:val="00E37630"/>
    <w:rsid w:val="00E473FF"/>
    <w:rsid w:val="00E51379"/>
    <w:rsid w:val="00E70009"/>
    <w:rsid w:val="00E70C2B"/>
    <w:rsid w:val="00E75FD9"/>
    <w:rsid w:val="00E812B4"/>
    <w:rsid w:val="00E96218"/>
    <w:rsid w:val="00EA15D4"/>
    <w:rsid w:val="00EA27F1"/>
    <w:rsid w:val="00EA4F1A"/>
    <w:rsid w:val="00EB1004"/>
    <w:rsid w:val="00EB52EC"/>
    <w:rsid w:val="00EC496D"/>
    <w:rsid w:val="00ED235C"/>
    <w:rsid w:val="00ED47E3"/>
    <w:rsid w:val="00ED4F3D"/>
    <w:rsid w:val="00EE661F"/>
    <w:rsid w:val="00EE71FE"/>
    <w:rsid w:val="00EF093B"/>
    <w:rsid w:val="00EF3632"/>
    <w:rsid w:val="00F0611E"/>
    <w:rsid w:val="00F07965"/>
    <w:rsid w:val="00F110A1"/>
    <w:rsid w:val="00F13793"/>
    <w:rsid w:val="00F16B4C"/>
    <w:rsid w:val="00F241E9"/>
    <w:rsid w:val="00F24646"/>
    <w:rsid w:val="00F25B1D"/>
    <w:rsid w:val="00F4046C"/>
    <w:rsid w:val="00F40E16"/>
    <w:rsid w:val="00F45271"/>
    <w:rsid w:val="00F52006"/>
    <w:rsid w:val="00F57236"/>
    <w:rsid w:val="00F57DE1"/>
    <w:rsid w:val="00F649A0"/>
    <w:rsid w:val="00F70E14"/>
    <w:rsid w:val="00F716EE"/>
    <w:rsid w:val="00F76FD4"/>
    <w:rsid w:val="00F8445E"/>
    <w:rsid w:val="00F86596"/>
    <w:rsid w:val="00F87884"/>
    <w:rsid w:val="00F923BD"/>
    <w:rsid w:val="00F92A96"/>
    <w:rsid w:val="00F9380D"/>
    <w:rsid w:val="00F93DF7"/>
    <w:rsid w:val="00FA0221"/>
    <w:rsid w:val="00FA0963"/>
    <w:rsid w:val="00FA41E7"/>
    <w:rsid w:val="00FA7B23"/>
    <w:rsid w:val="00FB069C"/>
    <w:rsid w:val="00FB22D7"/>
    <w:rsid w:val="00FB3AE9"/>
    <w:rsid w:val="00FB5E1B"/>
    <w:rsid w:val="00FE52AC"/>
    <w:rsid w:val="00FE6B00"/>
    <w:rsid w:val="00FF573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EC"/>
    <w:rPr>
      <w:sz w:val="24"/>
    </w:rPr>
  </w:style>
  <w:style w:type="paragraph" w:styleId="Overskrift1">
    <w:name w:val="heading 1"/>
    <w:basedOn w:val="Normal"/>
    <w:next w:val="Normal"/>
    <w:link w:val="Overskrift1Tegn"/>
    <w:uiPriority w:val="9"/>
    <w:qFormat/>
    <w:rsid w:val="00063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A0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57E1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57E1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5F45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99"/>
    <w:qFormat/>
    <w:rsid w:val="00DB5D35"/>
    <w:pPr>
      <w:spacing w:after="0" w:line="240" w:lineRule="auto"/>
    </w:pPr>
  </w:style>
  <w:style w:type="paragraph" w:styleId="Fodnotetekst">
    <w:name w:val="footnote text"/>
    <w:basedOn w:val="Normal"/>
    <w:link w:val="FodnotetekstTegn"/>
    <w:uiPriority w:val="99"/>
    <w:semiHidden/>
    <w:unhideWhenUsed/>
    <w:rsid w:val="000D6CA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D6CA7"/>
    <w:rPr>
      <w:sz w:val="20"/>
      <w:szCs w:val="20"/>
    </w:rPr>
  </w:style>
  <w:style w:type="character" w:styleId="Fodnotehenvisning">
    <w:name w:val="footnote reference"/>
    <w:basedOn w:val="Standardskrifttypeiafsnit"/>
    <w:uiPriority w:val="99"/>
    <w:semiHidden/>
    <w:unhideWhenUsed/>
    <w:rsid w:val="000D6CA7"/>
    <w:rPr>
      <w:vertAlign w:val="superscript"/>
    </w:rPr>
  </w:style>
  <w:style w:type="character" w:styleId="Hyperlink">
    <w:name w:val="Hyperlink"/>
    <w:basedOn w:val="Standardskrifttypeiafsnit"/>
    <w:uiPriority w:val="99"/>
    <w:unhideWhenUsed/>
    <w:rsid w:val="000D6CA7"/>
    <w:rPr>
      <w:color w:val="0000FF"/>
      <w:u w:val="single"/>
    </w:rPr>
  </w:style>
  <w:style w:type="character" w:customStyle="1" w:styleId="Overskrift1Tegn">
    <w:name w:val="Overskrift 1 Tegn"/>
    <w:basedOn w:val="Standardskrifttypeiafsnit"/>
    <w:link w:val="Overskrift1"/>
    <w:uiPriority w:val="9"/>
    <w:rsid w:val="00063E4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99"/>
    <w:qFormat/>
    <w:rsid w:val="006F1CC8"/>
    <w:pPr>
      <w:ind w:left="720"/>
      <w:contextualSpacing/>
    </w:pPr>
  </w:style>
  <w:style w:type="paragraph" w:styleId="Overskrift">
    <w:name w:val="TOC Heading"/>
    <w:basedOn w:val="Overskrift1"/>
    <w:next w:val="Normal"/>
    <w:uiPriority w:val="39"/>
    <w:unhideWhenUsed/>
    <w:qFormat/>
    <w:rsid w:val="001A0E29"/>
    <w:pPr>
      <w:outlineLvl w:val="9"/>
    </w:pPr>
    <w:rPr>
      <w:lang w:eastAsia="da-DK"/>
    </w:rPr>
  </w:style>
  <w:style w:type="paragraph" w:styleId="Indholdsfortegnelse1">
    <w:name w:val="toc 1"/>
    <w:basedOn w:val="Normal"/>
    <w:next w:val="Normal"/>
    <w:autoRedefine/>
    <w:uiPriority w:val="39"/>
    <w:unhideWhenUsed/>
    <w:qFormat/>
    <w:rsid w:val="001A0E29"/>
    <w:pPr>
      <w:spacing w:after="100"/>
    </w:pPr>
  </w:style>
  <w:style w:type="paragraph" w:styleId="Markeringsbobletekst">
    <w:name w:val="Balloon Text"/>
    <w:basedOn w:val="Normal"/>
    <w:link w:val="MarkeringsbobletekstTegn"/>
    <w:uiPriority w:val="99"/>
    <w:semiHidden/>
    <w:unhideWhenUsed/>
    <w:rsid w:val="001A0E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0E29"/>
    <w:rPr>
      <w:rFonts w:ascii="Tahoma" w:hAnsi="Tahoma" w:cs="Tahoma"/>
      <w:sz w:val="16"/>
      <w:szCs w:val="16"/>
    </w:rPr>
  </w:style>
  <w:style w:type="paragraph" w:styleId="Indholdsfortegnelse2">
    <w:name w:val="toc 2"/>
    <w:basedOn w:val="Normal"/>
    <w:next w:val="Normal"/>
    <w:autoRedefine/>
    <w:uiPriority w:val="39"/>
    <w:unhideWhenUsed/>
    <w:qFormat/>
    <w:rsid w:val="001A0E29"/>
    <w:pPr>
      <w:spacing w:after="100"/>
      <w:ind w:left="220"/>
    </w:pPr>
    <w:rPr>
      <w:rFonts w:eastAsiaTheme="minorEastAsia"/>
      <w:lang w:eastAsia="da-DK"/>
    </w:rPr>
  </w:style>
  <w:style w:type="paragraph" w:styleId="Indholdsfortegnelse3">
    <w:name w:val="toc 3"/>
    <w:basedOn w:val="Normal"/>
    <w:next w:val="Normal"/>
    <w:autoRedefine/>
    <w:uiPriority w:val="39"/>
    <w:unhideWhenUsed/>
    <w:qFormat/>
    <w:rsid w:val="001A0E29"/>
    <w:pPr>
      <w:spacing w:after="100"/>
      <w:ind w:left="440"/>
    </w:pPr>
    <w:rPr>
      <w:rFonts w:eastAsiaTheme="minorEastAsia"/>
      <w:lang w:eastAsia="da-DK"/>
    </w:rPr>
  </w:style>
  <w:style w:type="character" w:customStyle="1" w:styleId="Overskrift2Tegn">
    <w:name w:val="Overskrift 2 Tegn"/>
    <w:basedOn w:val="Standardskrifttypeiafsnit"/>
    <w:link w:val="Overskrift2"/>
    <w:uiPriority w:val="9"/>
    <w:rsid w:val="001A0E2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9"/>
    <w:rsid w:val="00957E16"/>
    <w:rPr>
      <w:rFonts w:asciiTheme="majorHAnsi" w:eastAsiaTheme="majorEastAsia" w:hAnsiTheme="majorHAnsi" w:cstheme="majorBidi"/>
      <w:b/>
      <w:bCs/>
      <w:color w:val="4F81BD" w:themeColor="accent1"/>
      <w:sz w:val="24"/>
    </w:rPr>
  </w:style>
  <w:style w:type="paragraph" w:customStyle="1" w:styleId="Default">
    <w:name w:val="Default"/>
    <w:rsid w:val="001A0E29"/>
    <w:pPr>
      <w:autoSpaceDE w:val="0"/>
      <w:autoSpaceDN w:val="0"/>
      <w:adjustRightInd w:val="0"/>
      <w:spacing w:after="0" w:line="240" w:lineRule="auto"/>
    </w:pPr>
    <w:rPr>
      <w:rFonts w:ascii="Calibri" w:hAnsi="Calibri" w:cs="Calibri"/>
      <w:color w:val="000000"/>
      <w:sz w:val="24"/>
      <w:szCs w:val="24"/>
    </w:rPr>
  </w:style>
  <w:style w:type="character" w:customStyle="1" w:styleId="Overskrift4Tegn">
    <w:name w:val="Overskrift 4 Tegn"/>
    <w:basedOn w:val="Standardskrifttypeiafsnit"/>
    <w:link w:val="Overskrift4"/>
    <w:uiPriority w:val="9"/>
    <w:rsid w:val="00957E16"/>
    <w:rPr>
      <w:rFonts w:asciiTheme="majorHAnsi" w:eastAsiaTheme="majorEastAsia" w:hAnsiTheme="majorHAnsi" w:cstheme="majorBidi"/>
      <w:b/>
      <w:bCs/>
      <w:i/>
      <w:iCs/>
      <w:color w:val="4F81BD" w:themeColor="accent1"/>
      <w:sz w:val="24"/>
    </w:rPr>
  </w:style>
  <w:style w:type="character" w:customStyle="1" w:styleId="Overskrift5Tegn">
    <w:name w:val="Overskrift 5 Tegn"/>
    <w:basedOn w:val="Standardskrifttypeiafsnit"/>
    <w:link w:val="Overskrift5"/>
    <w:uiPriority w:val="9"/>
    <w:rsid w:val="005F4589"/>
    <w:rPr>
      <w:rFonts w:asciiTheme="majorHAnsi" w:eastAsiaTheme="majorEastAsia" w:hAnsiTheme="majorHAnsi" w:cstheme="majorBidi"/>
      <w:color w:val="243F60" w:themeColor="accent1" w:themeShade="7F"/>
      <w:sz w:val="24"/>
    </w:rPr>
  </w:style>
  <w:style w:type="paragraph" w:styleId="FormateretHTML">
    <w:name w:val="HTML Preformatted"/>
    <w:basedOn w:val="Normal"/>
    <w:link w:val="FormateretHTMLTegn"/>
    <w:uiPriority w:val="99"/>
    <w:semiHidden/>
    <w:unhideWhenUsed/>
    <w:rsid w:val="006C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6C7439"/>
    <w:rPr>
      <w:rFonts w:ascii="Courier New" w:eastAsia="Times New Roman" w:hAnsi="Courier New" w:cs="Courier New"/>
      <w:sz w:val="20"/>
      <w:szCs w:val="20"/>
      <w:lang w:eastAsia="da-DK"/>
    </w:rPr>
  </w:style>
  <w:style w:type="paragraph" w:styleId="Sidehoved">
    <w:name w:val="header"/>
    <w:basedOn w:val="Normal"/>
    <w:link w:val="SidehovedTegn"/>
    <w:uiPriority w:val="99"/>
    <w:unhideWhenUsed/>
    <w:rsid w:val="003F54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544D"/>
    <w:rPr>
      <w:sz w:val="24"/>
    </w:rPr>
  </w:style>
  <w:style w:type="paragraph" w:styleId="Sidefod">
    <w:name w:val="footer"/>
    <w:basedOn w:val="Normal"/>
    <w:link w:val="SidefodTegn"/>
    <w:uiPriority w:val="99"/>
    <w:unhideWhenUsed/>
    <w:rsid w:val="003F544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544D"/>
    <w:rPr>
      <w:sz w:val="24"/>
    </w:rPr>
  </w:style>
  <w:style w:type="table" w:styleId="Tabel-Gitter">
    <w:name w:val="Table Grid"/>
    <w:basedOn w:val="Tabel-Normal"/>
    <w:uiPriority w:val="59"/>
    <w:rsid w:val="004F2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genafstandTegn">
    <w:name w:val="Ingen afstand Tegn"/>
    <w:basedOn w:val="Standardskrifttypeiafsnit"/>
    <w:link w:val="Ingenafstand"/>
    <w:uiPriority w:val="99"/>
    <w:rsid w:val="00CA00C2"/>
  </w:style>
  <w:style w:type="character" w:customStyle="1" w:styleId="apple-converted-space">
    <w:name w:val="apple-converted-space"/>
    <w:basedOn w:val="Standardskrifttypeiafsnit"/>
    <w:rsid w:val="00080376"/>
  </w:style>
  <w:style w:type="character" w:styleId="Fremhv">
    <w:name w:val="Emphasis"/>
    <w:basedOn w:val="Standardskrifttypeiafsnit"/>
    <w:uiPriority w:val="20"/>
    <w:qFormat/>
    <w:rsid w:val="00080376"/>
    <w:rPr>
      <w:i/>
      <w:iCs/>
    </w:rPr>
  </w:style>
  <w:style w:type="character" w:styleId="BesgtHyperlink">
    <w:name w:val="FollowedHyperlink"/>
    <w:basedOn w:val="Standardskrifttypeiafsnit"/>
    <w:uiPriority w:val="99"/>
    <w:semiHidden/>
    <w:unhideWhenUsed/>
    <w:rsid w:val="00961E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EC"/>
    <w:rPr>
      <w:sz w:val="24"/>
    </w:rPr>
  </w:style>
  <w:style w:type="paragraph" w:styleId="Overskrift1">
    <w:name w:val="heading 1"/>
    <w:basedOn w:val="Normal"/>
    <w:next w:val="Normal"/>
    <w:link w:val="Overskrift1Tegn"/>
    <w:uiPriority w:val="9"/>
    <w:qFormat/>
    <w:rsid w:val="00063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A0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57E1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57E1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5F45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99"/>
    <w:qFormat/>
    <w:rsid w:val="00DB5D35"/>
    <w:pPr>
      <w:spacing w:after="0" w:line="240" w:lineRule="auto"/>
    </w:pPr>
  </w:style>
  <w:style w:type="paragraph" w:styleId="Fodnotetekst">
    <w:name w:val="footnote text"/>
    <w:basedOn w:val="Normal"/>
    <w:link w:val="FodnotetekstTegn"/>
    <w:uiPriority w:val="99"/>
    <w:semiHidden/>
    <w:unhideWhenUsed/>
    <w:rsid w:val="000D6CA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D6CA7"/>
    <w:rPr>
      <w:sz w:val="20"/>
      <w:szCs w:val="20"/>
    </w:rPr>
  </w:style>
  <w:style w:type="character" w:styleId="Fodnotehenvisning">
    <w:name w:val="footnote reference"/>
    <w:basedOn w:val="Standardskrifttypeiafsnit"/>
    <w:uiPriority w:val="99"/>
    <w:semiHidden/>
    <w:unhideWhenUsed/>
    <w:rsid w:val="000D6CA7"/>
    <w:rPr>
      <w:vertAlign w:val="superscript"/>
    </w:rPr>
  </w:style>
  <w:style w:type="character" w:styleId="Hyperlink">
    <w:name w:val="Hyperlink"/>
    <w:basedOn w:val="Standardskrifttypeiafsnit"/>
    <w:uiPriority w:val="99"/>
    <w:unhideWhenUsed/>
    <w:rsid w:val="000D6CA7"/>
    <w:rPr>
      <w:color w:val="0000FF"/>
      <w:u w:val="single"/>
    </w:rPr>
  </w:style>
  <w:style w:type="character" w:customStyle="1" w:styleId="Overskrift1Tegn">
    <w:name w:val="Overskrift 1 Tegn"/>
    <w:basedOn w:val="Standardskrifttypeiafsnit"/>
    <w:link w:val="Overskrift1"/>
    <w:uiPriority w:val="9"/>
    <w:rsid w:val="00063E4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99"/>
    <w:qFormat/>
    <w:rsid w:val="006F1CC8"/>
    <w:pPr>
      <w:ind w:left="720"/>
      <w:contextualSpacing/>
    </w:pPr>
  </w:style>
  <w:style w:type="paragraph" w:styleId="Overskrift">
    <w:name w:val="TOC Heading"/>
    <w:basedOn w:val="Overskrift1"/>
    <w:next w:val="Normal"/>
    <w:uiPriority w:val="39"/>
    <w:unhideWhenUsed/>
    <w:qFormat/>
    <w:rsid w:val="001A0E29"/>
    <w:pPr>
      <w:outlineLvl w:val="9"/>
    </w:pPr>
    <w:rPr>
      <w:lang w:eastAsia="da-DK"/>
    </w:rPr>
  </w:style>
  <w:style w:type="paragraph" w:styleId="Indholdsfortegnelse1">
    <w:name w:val="toc 1"/>
    <w:basedOn w:val="Normal"/>
    <w:next w:val="Normal"/>
    <w:autoRedefine/>
    <w:uiPriority w:val="39"/>
    <w:unhideWhenUsed/>
    <w:qFormat/>
    <w:rsid w:val="001A0E29"/>
    <w:pPr>
      <w:spacing w:after="100"/>
    </w:pPr>
  </w:style>
  <w:style w:type="paragraph" w:styleId="Markeringsbobletekst">
    <w:name w:val="Balloon Text"/>
    <w:basedOn w:val="Normal"/>
    <w:link w:val="MarkeringsbobletekstTegn"/>
    <w:uiPriority w:val="99"/>
    <w:semiHidden/>
    <w:unhideWhenUsed/>
    <w:rsid w:val="001A0E2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0E29"/>
    <w:rPr>
      <w:rFonts w:ascii="Tahoma" w:hAnsi="Tahoma" w:cs="Tahoma"/>
      <w:sz w:val="16"/>
      <w:szCs w:val="16"/>
    </w:rPr>
  </w:style>
  <w:style w:type="paragraph" w:styleId="Indholdsfortegnelse2">
    <w:name w:val="toc 2"/>
    <w:basedOn w:val="Normal"/>
    <w:next w:val="Normal"/>
    <w:autoRedefine/>
    <w:uiPriority w:val="39"/>
    <w:unhideWhenUsed/>
    <w:qFormat/>
    <w:rsid w:val="001A0E29"/>
    <w:pPr>
      <w:spacing w:after="100"/>
      <w:ind w:left="220"/>
    </w:pPr>
    <w:rPr>
      <w:rFonts w:eastAsiaTheme="minorEastAsia"/>
      <w:lang w:eastAsia="da-DK"/>
    </w:rPr>
  </w:style>
  <w:style w:type="paragraph" w:styleId="Indholdsfortegnelse3">
    <w:name w:val="toc 3"/>
    <w:basedOn w:val="Normal"/>
    <w:next w:val="Normal"/>
    <w:autoRedefine/>
    <w:uiPriority w:val="39"/>
    <w:unhideWhenUsed/>
    <w:qFormat/>
    <w:rsid w:val="001A0E29"/>
    <w:pPr>
      <w:spacing w:after="100"/>
      <w:ind w:left="440"/>
    </w:pPr>
    <w:rPr>
      <w:rFonts w:eastAsiaTheme="minorEastAsia"/>
      <w:lang w:eastAsia="da-DK"/>
    </w:rPr>
  </w:style>
  <w:style w:type="character" w:customStyle="1" w:styleId="Overskrift2Tegn">
    <w:name w:val="Overskrift 2 Tegn"/>
    <w:basedOn w:val="Standardskrifttypeiafsnit"/>
    <w:link w:val="Overskrift2"/>
    <w:uiPriority w:val="9"/>
    <w:rsid w:val="001A0E2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9"/>
    <w:rsid w:val="00957E16"/>
    <w:rPr>
      <w:rFonts w:asciiTheme="majorHAnsi" w:eastAsiaTheme="majorEastAsia" w:hAnsiTheme="majorHAnsi" w:cstheme="majorBidi"/>
      <w:b/>
      <w:bCs/>
      <w:color w:val="4F81BD" w:themeColor="accent1"/>
      <w:sz w:val="24"/>
    </w:rPr>
  </w:style>
  <w:style w:type="paragraph" w:customStyle="1" w:styleId="Default">
    <w:name w:val="Default"/>
    <w:rsid w:val="001A0E29"/>
    <w:pPr>
      <w:autoSpaceDE w:val="0"/>
      <w:autoSpaceDN w:val="0"/>
      <w:adjustRightInd w:val="0"/>
      <w:spacing w:after="0" w:line="240" w:lineRule="auto"/>
    </w:pPr>
    <w:rPr>
      <w:rFonts w:ascii="Calibri" w:hAnsi="Calibri" w:cs="Calibri"/>
      <w:color w:val="000000"/>
      <w:sz w:val="24"/>
      <w:szCs w:val="24"/>
    </w:rPr>
  </w:style>
  <w:style w:type="character" w:customStyle="1" w:styleId="Overskrift4Tegn">
    <w:name w:val="Overskrift 4 Tegn"/>
    <w:basedOn w:val="Standardskrifttypeiafsnit"/>
    <w:link w:val="Overskrift4"/>
    <w:uiPriority w:val="9"/>
    <w:rsid w:val="00957E16"/>
    <w:rPr>
      <w:rFonts w:asciiTheme="majorHAnsi" w:eastAsiaTheme="majorEastAsia" w:hAnsiTheme="majorHAnsi" w:cstheme="majorBidi"/>
      <w:b/>
      <w:bCs/>
      <w:i/>
      <w:iCs/>
      <w:color w:val="4F81BD" w:themeColor="accent1"/>
      <w:sz w:val="24"/>
    </w:rPr>
  </w:style>
  <w:style w:type="character" w:customStyle="1" w:styleId="Overskrift5Tegn">
    <w:name w:val="Overskrift 5 Tegn"/>
    <w:basedOn w:val="Standardskrifttypeiafsnit"/>
    <w:link w:val="Overskrift5"/>
    <w:uiPriority w:val="9"/>
    <w:rsid w:val="005F4589"/>
    <w:rPr>
      <w:rFonts w:asciiTheme="majorHAnsi" w:eastAsiaTheme="majorEastAsia" w:hAnsiTheme="majorHAnsi" w:cstheme="majorBidi"/>
      <w:color w:val="243F60" w:themeColor="accent1" w:themeShade="7F"/>
      <w:sz w:val="24"/>
    </w:rPr>
  </w:style>
  <w:style w:type="paragraph" w:styleId="FormateretHTML">
    <w:name w:val="HTML Preformatted"/>
    <w:basedOn w:val="Normal"/>
    <w:link w:val="FormateretHTMLTegn"/>
    <w:uiPriority w:val="99"/>
    <w:semiHidden/>
    <w:unhideWhenUsed/>
    <w:rsid w:val="006C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6C7439"/>
    <w:rPr>
      <w:rFonts w:ascii="Courier New" w:eastAsia="Times New Roman" w:hAnsi="Courier New" w:cs="Courier New"/>
      <w:sz w:val="20"/>
      <w:szCs w:val="20"/>
      <w:lang w:eastAsia="da-DK"/>
    </w:rPr>
  </w:style>
  <w:style w:type="paragraph" w:styleId="Sidehoved">
    <w:name w:val="header"/>
    <w:basedOn w:val="Normal"/>
    <w:link w:val="SidehovedTegn"/>
    <w:uiPriority w:val="99"/>
    <w:unhideWhenUsed/>
    <w:rsid w:val="003F54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544D"/>
    <w:rPr>
      <w:sz w:val="24"/>
    </w:rPr>
  </w:style>
  <w:style w:type="paragraph" w:styleId="Sidefod">
    <w:name w:val="footer"/>
    <w:basedOn w:val="Normal"/>
    <w:link w:val="SidefodTegn"/>
    <w:uiPriority w:val="99"/>
    <w:unhideWhenUsed/>
    <w:rsid w:val="003F544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544D"/>
    <w:rPr>
      <w:sz w:val="24"/>
    </w:rPr>
  </w:style>
  <w:style w:type="table" w:styleId="Tabel-Gitter">
    <w:name w:val="Table Grid"/>
    <w:basedOn w:val="Tabel-Normal"/>
    <w:uiPriority w:val="59"/>
    <w:rsid w:val="004F2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genafstandTegn">
    <w:name w:val="Ingen afstand Tegn"/>
    <w:basedOn w:val="Standardskrifttypeiafsnit"/>
    <w:link w:val="Ingenafstand"/>
    <w:uiPriority w:val="99"/>
    <w:rsid w:val="00CA00C2"/>
  </w:style>
  <w:style w:type="character" w:customStyle="1" w:styleId="apple-converted-space">
    <w:name w:val="apple-converted-space"/>
    <w:basedOn w:val="Standardskrifttypeiafsnit"/>
    <w:rsid w:val="00080376"/>
  </w:style>
  <w:style w:type="character" w:styleId="Fremhv">
    <w:name w:val="Emphasis"/>
    <w:basedOn w:val="Standardskrifttypeiafsnit"/>
    <w:uiPriority w:val="20"/>
    <w:qFormat/>
    <w:rsid w:val="00080376"/>
    <w:rPr>
      <w:i/>
      <w:iCs/>
    </w:rPr>
  </w:style>
</w:styles>
</file>

<file path=word/webSettings.xml><?xml version="1.0" encoding="utf-8"?>
<w:webSettings xmlns:r="http://schemas.openxmlformats.org/officeDocument/2006/relationships" xmlns:w="http://schemas.openxmlformats.org/wordprocessingml/2006/main">
  <w:divs>
    <w:div w:id="596602029">
      <w:bodyDiv w:val="1"/>
      <w:marLeft w:val="0"/>
      <w:marRight w:val="0"/>
      <w:marTop w:val="0"/>
      <w:marBottom w:val="0"/>
      <w:divBdr>
        <w:top w:val="none" w:sz="0" w:space="0" w:color="auto"/>
        <w:left w:val="none" w:sz="0" w:space="0" w:color="auto"/>
        <w:bottom w:val="none" w:sz="0" w:space="0" w:color="auto"/>
        <w:right w:val="none" w:sz="0" w:space="0" w:color="auto"/>
      </w:divBdr>
    </w:div>
    <w:div w:id="875891183">
      <w:bodyDiv w:val="1"/>
      <w:marLeft w:val="0"/>
      <w:marRight w:val="0"/>
      <w:marTop w:val="0"/>
      <w:marBottom w:val="0"/>
      <w:divBdr>
        <w:top w:val="none" w:sz="0" w:space="0" w:color="auto"/>
        <w:left w:val="none" w:sz="0" w:space="0" w:color="auto"/>
        <w:bottom w:val="none" w:sz="0" w:space="0" w:color="auto"/>
        <w:right w:val="none" w:sz="0" w:space="0" w:color="auto"/>
      </w:divBdr>
    </w:div>
    <w:div w:id="1053847358">
      <w:bodyDiv w:val="1"/>
      <w:marLeft w:val="0"/>
      <w:marRight w:val="0"/>
      <w:marTop w:val="0"/>
      <w:marBottom w:val="0"/>
      <w:divBdr>
        <w:top w:val="none" w:sz="0" w:space="0" w:color="auto"/>
        <w:left w:val="none" w:sz="0" w:space="0" w:color="auto"/>
        <w:bottom w:val="none" w:sz="0" w:space="0" w:color="auto"/>
        <w:right w:val="none" w:sz="0" w:space="0" w:color="auto"/>
      </w:divBdr>
    </w:div>
    <w:div w:id="1135484012">
      <w:bodyDiv w:val="1"/>
      <w:marLeft w:val="0"/>
      <w:marRight w:val="0"/>
      <w:marTop w:val="0"/>
      <w:marBottom w:val="0"/>
      <w:divBdr>
        <w:top w:val="none" w:sz="0" w:space="0" w:color="auto"/>
        <w:left w:val="none" w:sz="0" w:space="0" w:color="auto"/>
        <w:bottom w:val="none" w:sz="0" w:space="0" w:color="auto"/>
        <w:right w:val="none" w:sz="0" w:space="0" w:color="auto"/>
      </w:divBdr>
    </w:div>
    <w:div w:id="1335302099">
      <w:bodyDiv w:val="1"/>
      <w:marLeft w:val="0"/>
      <w:marRight w:val="0"/>
      <w:marTop w:val="0"/>
      <w:marBottom w:val="0"/>
      <w:divBdr>
        <w:top w:val="none" w:sz="0" w:space="0" w:color="auto"/>
        <w:left w:val="none" w:sz="0" w:space="0" w:color="auto"/>
        <w:bottom w:val="none" w:sz="0" w:space="0" w:color="auto"/>
        <w:right w:val="none" w:sz="0" w:space="0" w:color="auto"/>
      </w:divBdr>
    </w:div>
    <w:div w:id="1480729777">
      <w:bodyDiv w:val="1"/>
      <w:marLeft w:val="0"/>
      <w:marRight w:val="0"/>
      <w:marTop w:val="0"/>
      <w:marBottom w:val="0"/>
      <w:divBdr>
        <w:top w:val="none" w:sz="0" w:space="0" w:color="auto"/>
        <w:left w:val="none" w:sz="0" w:space="0" w:color="auto"/>
        <w:bottom w:val="none" w:sz="0" w:space="0" w:color="auto"/>
        <w:right w:val="none" w:sz="0" w:space="0" w:color="auto"/>
      </w:divBdr>
    </w:div>
    <w:div w:id="1586912165">
      <w:bodyDiv w:val="1"/>
      <w:marLeft w:val="0"/>
      <w:marRight w:val="0"/>
      <w:marTop w:val="0"/>
      <w:marBottom w:val="0"/>
      <w:divBdr>
        <w:top w:val="none" w:sz="0" w:space="0" w:color="auto"/>
        <w:left w:val="none" w:sz="0" w:space="0" w:color="auto"/>
        <w:bottom w:val="none" w:sz="0" w:space="0" w:color="auto"/>
        <w:right w:val="none" w:sz="0" w:space="0" w:color="auto"/>
      </w:divBdr>
    </w:div>
    <w:div w:id="16681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vestor.en.pandora.net/" TargetMode="External"/><Relationship Id="rId18" Type="http://schemas.openxmlformats.org/officeDocument/2006/relationships/hyperlink" Target="http://in2media.dk/" TargetMode="External"/><Relationship Id="rId26" Type="http://schemas.openxmlformats.org/officeDocument/2006/relationships/hyperlink" Target="http://www.euroinvestor.dk/boerser/nasdaq-omx-copenhagen" TargetMode="External"/><Relationship Id="rId3" Type="http://schemas.openxmlformats.org/officeDocument/2006/relationships/styles" Target="styles.xml"/><Relationship Id="rId21" Type="http://schemas.openxmlformats.org/officeDocument/2006/relationships/hyperlink" Target="http://www.proinvestor.com/aktier/pandora/PNDORA.CO" TargetMode="External"/><Relationship Id="rId7" Type="http://schemas.openxmlformats.org/officeDocument/2006/relationships/endnotes" Target="endnotes.xml"/><Relationship Id="rId12" Type="http://schemas.openxmlformats.org/officeDocument/2006/relationships/hyperlink" Target="http://www.goldprice.org" TargetMode="External"/><Relationship Id="rId17" Type="http://schemas.openxmlformats.org/officeDocument/2006/relationships/hyperlink" Target="http://www.trollbeadsuniverse.com/denmark/da-dk" TargetMode="External"/><Relationship Id="rId25" Type="http://schemas.openxmlformats.org/officeDocument/2006/relationships/hyperlink" Target="http://di.dk/" TargetMode="External"/><Relationship Id="rId2" Type="http://schemas.openxmlformats.org/officeDocument/2006/relationships/numbering" Target="numbering.xml"/><Relationship Id="rId16" Type="http://schemas.openxmlformats.org/officeDocument/2006/relationships/hyperlink" Target="http://epn.dk/investor/" TargetMode="External"/><Relationship Id="rId20" Type="http://schemas.openxmlformats.org/officeDocument/2006/relationships/hyperlink" Target="http://www.getloaded.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oliditet.dk" TargetMode="External"/><Relationship Id="rId5" Type="http://schemas.openxmlformats.org/officeDocument/2006/relationships/webSettings" Target="webSettings.xml"/><Relationship Id="rId15" Type="http://schemas.openxmlformats.org/officeDocument/2006/relationships/hyperlink" Target="http://en.wikipedia.org/wiki/" TargetMode="External"/><Relationship Id="rId23" Type="http://schemas.openxmlformats.org/officeDocument/2006/relationships/hyperlink" Target="http://nationalbanken.dk"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business.dk/fashion-desig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ogle.dk/imgres?q=pandora&amp;start=111&amp;hl=en&amp;sa=X&amp;biw=1024&amp;bih=495&amp;tbm=isch&amp;tbnid=JP94Syyvy8-61M:&amp;imgrefurl=http://www.brentcross.co.uk/shops/accessories/pandora&amp;docid=RqKi-o7IMzhYqM&amp;imgurl=http://eu-static.brentcross.co.uk.s3.amazonaws.com/Live/ResizedImages/Store%20Fronts/1nvb2ekahm1/Gallery_Image/pandora.jpg&amp;w=460&amp;h=300&amp;ei=_ENHUeW_Esb14QS64oDwCw&amp;zoom=1&amp;ved=0CE8QrQMwGThk&amp;iact=hc&amp;vpx=309&amp;vpy=183&amp;dur=921&amp;hovh=181&amp;hovw=278&amp;tx=62&amp;ty=131&amp;page=7&amp;tbnh=133&amp;tbnw=198&amp;ndsp=18" TargetMode="External"/><Relationship Id="rId14" Type="http://schemas.openxmlformats.org/officeDocument/2006/relationships/hyperlink" Target="http://da.wikipedia.org/wiki" TargetMode="External"/><Relationship Id="rId22" Type="http://schemas.openxmlformats.org/officeDocument/2006/relationships/hyperlink" Target="http://www.ifr.dk"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roinvestor.com/aktier/pandora/PNDORA.CO" TargetMode="External"/><Relationship Id="rId1" Type="http://schemas.openxmlformats.org/officeDocument/2006/relationships/hyperlink" Target="http://investor.en.pandora.n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961F-912B-4BAC-8FDD-B7055832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2030</Words>
  <Characters>15917</Characters>
  <Application>Microsoft Office Word</Application>
  <DocSecurity>0</DocSecurity>
  <Lines>132</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Jesper Brygger</cp:lastModifiedBy>
  <cp:revision>4</cp:revision>
  <cp:lastPrinted>2013-04-03T13:45:00Z</cp:lastPrinted>
  <dcterms:created xsi:type="dcterms:W3CDTF">2013-03-18T16:58:00Z</dcterms:created>
  <dcterms:modified xsi:type="dcterms:W3CDTF">2013-04-10T15:16:00Z</dcterms:modified>
</cp:coreProperties>
</file>