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D0" w:rsidRDefault="00DD637A">
      <w:pPr>
        <w:pStyle w:val="TOC2"/>
      </w:pPr>
      <w:r>
        <w:rPr>
          <w:noProof/>
          <w:lang w:eastAsia="da-DK"/>
        </w:rPr>
        <w:drawing>
          <wp:anchor distT="0" distB="0" distL="114300" distR="114300" simplePos="0" relativeHeight="251662336" behindDoc="1" locked="0" layoutInCell="1" allowOverlap="1" wp14:anchorId="54A1FCE1" wp14:editId="656F278A">
            <wp:simplePos x="0" y="0"/>
            <wp:positionH relativeFrom="margin">
              <wp:align>right</wp:align>
            </wp:positionH>
            <wp:positionV relativeFrom="paragraph">
              <wp:posOffset>229548</wp:posOffset>
            </wp:positionV>
            <wp:extent cx="5759450" cy="2197100"/>
            <wp:effectExtent l="0" t="0" r="0" b="0"/>
            <wp:wrapTight wrapText="bothSides">
              <wp:wrapPolygon edited="0">
                <wp:start x="0" y="0"/>
                <wp:lineTo x="0" y="21350"/>
                <wp:lineTo x="21505" y="21350"/>
                <wp:lineTo x="21505" y="0"/>
                <wp:lineTo x="0" y="0"/>
              </wp:wrapPolygon>
            </wp:wrapTight>
            <wp:docPr id="13" name="Picture 13" descr="http://www.codema.ie/images/uploads/logos2/n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dema.ie/images/uploads/logos2/nc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CD0" w:rsidRDefault="000947EA" w:rsidP="00384CD0">
      <w:r>
        <w:rPr>
          <w:noProof/>
          <w:lang w:eastAsia="da-DK"/>
        </w:rPr>
        <mc:AlternateContent>
          <mc:Choice Requires="wps">
            <w:drawing>
              <wp:anchor distT="0" distB="0" distL="114300" distR="114300" simplePos="0" relativeHeight="251661312" behindDoc="0" locked="0" layoutInCell="1" allowOverlap="1" wp14:anchorId="0AE9A2F2" wp14:editId="401CC254">
                <wp:simplePos x="0" y="0"/>
                <wp:positionH relativeFrom="column">
                  <wp:posOffset>528320</wp:posOffset>
                </wp:positionH>
                <wp:positionV relativeFrom="paragraph">
                  <wp:posOffset>5380989</wp:posOffset>
                </wp:positionV>
                <wp:extent cx="4667250" cy="31908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4667250" cy="3190875"/>
                        </a:xfrm>
                        <a:prstGeom prst="rect">
                          <a:avLst/>
                        </a:prstGeom>
                        <a:ln w="6350">
                          <a:solidFill>
                            <a:prstClr val="black"/>
                          </a:solidFill>
                        </a:ln>
                      </wps:spPr>
                      <wps:txbx>
                        <w:txbxContent>
                          <w:p w:rsidR="00A95CB6" w:rsidRPr="00FD0F82" w:rsidRDefault="00A95CB6" w:rsidP="00FD0F82">
                            <w:pPr>
                              <w:spacing w:line="360" w:lineRule="auto"/>
                              <w:jc w:val="center"/>
                              <w:rPr>
                                <w:b/>
                                <w:color w:val="FFFFFF" w:themeColor="background1"/>
                                <w:sz w:val="32"/>
                                <w14:shadow w14:blurRad="50800" w14:dist="38100" w14:dir="2700000" w14:sx="100000" w14:sy="100000" w14:kx="0" w14:ky="0" w14:algn="tl">
                                  <w14:srgbClr w14:val="000000">
                                    <w14:alpha w14:val="60000"/>
                                  </w14:srgbClr>
                                </w14:shadow>
                              </w:rPr>
                            </w:pPr>
                            <w:r>
                              <w:rPr>
                                <w:b/>
                                <w:color w:val="FFFFFF" w:themeColor="background1"/>
                                <w:sz w:val="32"/>
                                <w14:shadow w14:blurRad="50800" w14:dist="38100" w14:dir="2700000" w14:sx="100000" w14:sy="100000" w14:kx="0" w14:ky="0" w14:algn="tl">
                                  <w14:srgbClr w14:val="000000">
                                    <w14:alpha w14:val="60000"/>
                                  </w14:srgbClr>
                                </w14:shadow>
                              </w:rPr>
                              <w:t xml:space="preserve">Studieretningsprojekt </w:t>
                            </w:r>
                            <w:r w:rsidRPr="00FD0F82">
                              <w:rPr>
                                <w:b/>
                                <w:color w:val="FFFFFF" w:themeColor="background1"/>
                                <w:sz w:val="32"/>
                                <w14:shadow w14:blurRad="50800" w14:dist="38100" w14:dir="2700000" w14:sx="100000" w14:sy="100000" w14:kx="0" w14:ky="0" w14:algn="tl">
                                  <w14:srgbClr w14:val="000000">
                                    <w14:alpha w14:val="60000"/>
                                  </w14:srgbClr>
                                </w14:shadow>
                              </w:rPr>
                              <w:t>2015</w:t>
                            </w:r>
                          </w:p>
                          <w:p w:rsidR="00A95CB6" w:rsidRDefault="00A95CB6" w:rsidP="00FD0F82">
                            <w:pPr>
                              <w:spacing w:line="360" w:lineRule="auto"/>
                              <w:jc w:val="center"/>
                              <w:rPr>
                                <w:color w:val="FFFFFF" w:themeColor="background1"/>
                                <w:sz w:val="32"/>
                              </w:rPr>
                            </w:pPr>
                            <w:r>
                              <w:rPr>
                                <w:color w:val="FFFFFF" w:themeColor="background1"/>
                                <w:sz w:val="32"/>
                              </w:rPr>
                              <w:t>Finansiering B/Virksomhedsøkonomi A</w:t>
                            </w:r>
                          </w:p>
                          <w:p w:rsidR="00A95CB6" w:rsidRDefault="00A95CB6" w:rsidP="00FD0F82">
                            <w:pPr>
                              <w:spacing w:line="360" w:lineRule="auto"/>
                              <w:jc w:val="center"/>
                              <w:rPr>
                                <w:color w:val="FFFFFF" w:themeColor="background1"/>
                                <w:sz w:val="32"/>
                              </w:rPr>
                            </w:pPr>
                            <w:r>
                              <w:rPr>
                                <w:color w:val="FFFFFF" w:themeColor="background1"/>
                                <w:sz w:val="32"/>
                              </w:rPr>
                              <w:t>Vejledere: Jesper Brygger &amp; Irene Brink</w:t>
                            </w:r>
                          </w:p>
                          <w:p w:rsidR="00A95CB6" w:rsidRDefault="00A95CB6" w:rsidP="00FD0F82">
                            <w:pPr>
                              <w:spacing w:line="360" w:lineRule="auto"/>
                              <w:jc w:val="center"/>
                              <w:rPr>
                                <w:color w:val="FFFFFF" w:themeColor="background1"/>
                                <w:sz w:val="32"/>
                              </w:rPr>
                            </w:pPr>
                            <w:r>
                              <w:rPr>
                                <w:color w:val="FFFFFF" w:themeColor="background1"/>
                                <w:sz w:val="32"/>
                              </w:rPr>
                              <w:t>Område: Virksomhedsopkøb</w:t>
                            </w:r>
                          </w:p>
                          <w:p w:rsidR="00A95CB6" w:rsidRDefault="00A95CB6" w:rsidP="00FD0F82">
                            <w:pPr>
                              <w:spacing w:line="360" w:lineRule="auto"/>
                              <w:jc w:val="center"/>
                              <w:rPr>
                                <w:color w:val="FFFFFF" w:themeColor="background1"/>
                                <w:sz w:val="32"/>
                              </w:rPr>
                            </w:pPr>
                            <w:r>
                              <w:rPr>
                                <w:color w:val="FFFFFF" w:themeColor="background1"/>
                                <w:sz w:val="32"/>
                              </w:rPr>
                              <w:t>Skrevet og udarbejdet af: Frederik Søegaard Nielsen</w:t>
                            </w:r>
                          </w:p>
                          <w:p w:rsidR="00A95CB6" w:rsidRDefault="00A95CB6" w:rsidP="00FD0F82">
                            <w:pPr>
                              <w:spacing w:line="360" w:lineRule="auto"/>
                              <w:jc w:val="center"/>
                              <w:rPr>
                                <w:color w:val="FFFFFF" w:themeColor="background1"/>
                                <w:sz w:val="32"/>
                              </w:rPr>
                            </w:pPr>
                            <w:r>
                              <w:rPr>
                                <w:color w:val="FFFFFF" w:themeColor="background1"/>
                                <w:sz w:val="32"/>
                              </w:rPr>
                              <w:t>Klasse: 3.I</w:t>
                            </w:r>
                          </w:p>
                          <w:p w:rsidR="00A95CB6" w:rsidRDefault="00A95CB6" w:rsidP="00FD0F82">
                            <w:pPr>
                              <w:spacing w:line="360" w:lineRule="auto"/>
                              <w:jc w:val="center"/>
                              <w:rPr>
                                <w:color w:val="FFFFFF" w:themeColor="background1"/>
                                <w:sz w:val="32"/>
                              </w:rPr>
                            </w:pPr>
                            <w:r>
                              <w:rPr>
                                <w:color w:val="FFFFFF" w:themeColor="background1"/>
                                <w:sz w:val="32"/>
                              </w:rPr>
                              <w:t>Roskilde Handelsskole</w:t>
                            </w:r>
                          </w:p>
                          <w:p w:rsidR="00A95CB6" w:rsidRDefault="00A95CB6" w:rsidP="00FD0F82">
                            <w:pPr>
                              <w:spacing w:line="360" w:lineRule="auto"/>
                              <w:jc w:val="center"/>
                              <w:rPr>
                                <w:color w:val="FFFFFF" w:themeColor="background1"/>
                                <w:sz w:val="32"/>
                              </w:rPr>
                            </w:pPr>
                            <w:r>
                              <w:rPr>
                                <w:color w:val="FFFFFF" w:themeColor="background1"/>
                                <w:sz w:val="32"/>
                              </w:rPr>
                              <w:t>Afleveret: 13-02-2015</w:t>
                            </w:r>
                          </w:p>
                          <w:p w:rsidR="00A95CB6" w:rsidRPr="00A5740B" w:rsidRDefault="00A95CB6" w:rsidP="00FD0F82">
                            <w:pPr>
                              <w:spacing w:line="360" w:lineRule="auto"/>
                              <w:jc w:val="center"/>
                              <w:rPr>
                                <w:color w:val="FFFFFF" w:themeColor="background1"/>
                                <w:sz w:val="32"/>
                              </w:rPr>
                            </w:pPr>
                            <w:r>
                              <w:rPr>
                                <w:color w:val="FFFFFF" w:themeColor="background1"/>
                                <w:sz w:val="32"/>
                              </w:rPr>
                              <w:t>Anslag: 47100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9A2F2" id="_x0000_t202" coordsize="21600,21600" o:spt="202" path="m,l,21600r21600,l21600,xe">
                <v:stroke joinstyle="miter"/>
                <v:path gradientshapeok="t" o:connecttype="rect"/>
              </v:shapetype>
              <v:shape id="Text Box 12" o:spid="_x0000_s1026" type="#_x0000_t202" style="position:absolute;left:0;text-align:left;margin-left:41.6pt;margin-top:423.7pt;width:367.5pt;height:25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" filled="f" strokeweight=".5pt">
                <v:textbox inset="0,0,0,0">
                  <w:txbxContent>
                    <w:p w:rsidR="00A95CB6" w:rsidRPr="00FD0F82" w:rsidRDefault="00A95CB6" w:rsidP="00FD0F82">
                      <w:pPr>
                        <w:spacing w:line="360" w:lineRule="auto"/>
                        <w:jc w:val="center"/>
                        <w:rPr>
                          <w:b/>
                          <w:color w:val="FFFFFF" w:themeColor="background1"/>
                          <w:sz w:val="32"/>
                          <w14:shadow w14:blurRad="50800" w14:dist="38100" w14:dir="2700000" w14:sx="100000" w14:sy="100000" w14:kx="0" w14:ky="0" w14:algn="tl">
                            <w14:srgbClr w14:val="000000">
                              <w14:alpha w14:val="60000"/>
                            </w14:srgbClr>
                          </w14:shadow>
                        </w:rPr>
                      </w:pPr>
                      <w:r>
                        <w:rPr>
                          <w:b/>
                          <w:color w:val="FFFFFF" w:themeColor="background1"/>
                          <w:sz w:val="32"/>
                          <w14:shadow w14:blurRad="50800" w14:dist="38100" w14:dir="2700000" w14:sx="100000" w14:sy="100000" w14:kx="0" w14:ky="0" w14:algn="tl">
                            <w14:srgbClr w14:val="000000">
                              <w14:alpha w14:val="60000"/>
                            </w14:srgbClr>
                          </w14:shadow>
                        </w:rPr>
                        <w:t xml:space="preserve">Studieretningsprojekt </w:t>
                      </w:r>
                      <w:r w:rsidRPr="00FD0F82">
                        <w:rPr>
                          <w:b/>
                          <w:color w:val="FFFFFF" w:themeColor="background1"/>
                          <w:sz w:val="32"/>
                          <w14:shadow w14:blurRad="50800" w14:dist="38100" w14:dir="2700000" w14:sx="100000" w14:sy="100000" w14:kx="0" w14:ky="0" w14:algn="tl">
                            <w14:srgbClr w14:val="000000">
                              <w14:alpha w14:val="60000"/>
                            </w14:srgbClr>
                          </w14:shadow>
                        </w:rPr>
                        <w:t>2015</w:t>
                      </w:r>
                    </w:p>
                    <w:p w:rsidR="00A95CB6" w:rsidRDefault="00A95CB6" w:rsidP="00FD0F82">
                      <w:pPr>
                        <w:spacing w:line="360" w:lineRule="auto"/>
                        <w:jc w:val="center"/>
                        <w:rPr>
                          <w:color w:val="FFFFFF" w:themeColor="background1"/>
                          <w:sz w:val="32"/>
                        </w:rPr>
                      </w:pPr>
                      <w:r>
                        <w:rPr>
                          <w:color w:val="FFFFFF" w:themeColor="background1"/>
                          <w:sz w:val="32"/>
                        </w:rPr>
                        <w:t>Finansiering B/Virksomhedsøkonomi A</w:t>
                      </w:r>
                    </w:p>
                    <w:p w:rsidR="00A95CB6" w:rsidRDefault="00A95CB6" w:rsidP="00FD0F82">
                      <w:pPr>
                        <w:spacing w:line="360" w:lineRule="auto"/>
                        <w:jc w:val="center"/>
                        <w:rPr>
                          <w:color w:val="FFFFFF" w:themeColor="background1"/>
                          <w:sz w:val="32"/>
                        </w:rPr>
                      </w:pPr>
                      <w:r>
                        <w:rPr>
                          <w:color w:val="FFFFFF" w:themeColor="background1"/>
                          <w:sz w:val="32"/>
                        </w:rPr>
                        <w:t>Vejledere: Jesper Brygger &amp; Irene Brink</w:t>
                      </w:r>
                    </w:p>
                    <w:p w:rsidR="00A95CB6" w:rsidRDefault="00A95CB6" w:rsidP="00FD0F82">
                      <w:pPr>
                        <w:spacing w:line="360" w:lineRule="auto"/>
                        <w:jc w:val="center"/>
                        <w:rPr>
                          <w:color w:val="FFFFFF" w:themeColor="background1"/>
                          <w:sz w:val="32"/>
                        </w:rPr>
                      </w:pPr>
                      <w:r>
                        <w:rPr>
                          <w:color w:val="FFFFFF" w:themeColor="background1"/>
                          <w:sz w:val="32"/>
                        </w:rPr>
                        <w:t>Område: Virksomhedsopkøb</w:t>
                      </w:r>
                    </w:p>
                    <w:p w:rsidR="00A95CB6" w:rsidRDefault="00A95CB6" w:rsidP="00FD0F82">
                      <w:pPr>
                        <w:spacing w:line="360" w:lineRule="auto"/>
                        <w:jc w:val="center"/>
                        <w:rPr>
                          <w:color w:val="FFFFFF" w:themeColor="background1"/>
                          <w:sz w:val="32"/>
                        </w:rPr>
                      </w:pPr>
                      <w:r>
                        <w:rPr>
                          <w:color w:val="FFFFFF" w:themeColor="background1"/>
                          <w:sz w:val="32"/>
                        </w:rPr>
                        <w:t>Skrevet og udarbejdet af: Frederik Søegaard Nielsen</w:t>
                      </w:r>
                    </w:p>
                    <w:p w:rsidR="00A95CB6" w:rsidRDefault="00A95CB6" w:rsidP="00FD0F82">
                      <w:pPr>
                        <w:spacing w:line="360" w:lineRule="auto"/>
                        <w:jc w:val="center"/>
                        <w:rPr>
                          <w:color w:val="FFFFFF" w:themeColor="background1"/>
                          <w:sz w:val="32"/>
                        </w:rPr>
                      </w:pPr>
                      <w:r>
                        <w:rPr>
                          <w:color w:val="FFFFFF" w:themeColor="background1"/>
                          <w:sz w:val="32"/>
                        </w:rPr>
                        <w:t>Klasse: 3.I</w:t>
                      </w:r>
                    </w:p>
                    <w:p w:rsidR="00A95CB6" w:rsidRDefault="00A95CB6" w:rsidP="00FD0F82">
                      <w:pPr>
                        <w:spacing w:line="360" w:lineRule="auto"/>
                        <w:jc w:val="center"/>
                        <w:rPr>
                          <w:color w:val="FFFFFF" w:themeColor="background1"/>
                          <w:sz w:val="32"/>
                        </w:rPr>
                      </w:pPr>
                      <w:r>
                        <w:rPr>
                          <w:color w:val="FFFFFF" w:themeColor="background1"/>
                          <w:sz w:val="32"/>
                        </w:rPr>
                        <w:t>Roskilde Handelsskole</w:t>
                      </w:r>
                    </w:p>
                    <w:p w:rsidR="00A95CB6" w:rsidRDefault="00A95CB6" w:rsidP="00FD0F82">
                      <w:pPr>
                        <w:spacing w:line="360" w:lineRule="auto"/>
                        <w:jc w:val="center"/>
                        <w:rPr>
                          <w:color w:val="FFFFFF" w:themeColor="background1"/>
                          <w:sz w:val="32"/>
                        </w:rPr>
                      </w:pPr>
                      <w:r>
                        <w:rPr>
                          <w:color w:val="FFFFFF" w:themeColor="background1"/>
                          <w:sz w:val="32"/>
                        </w:rPr>
                        <w:t>Afleveret: 13-02-2015</w:t>
                      </w:r>
                    </w:p>
                    <w:p w:rsidR="00A95CB6" w:rsidRPr="00A5740B" w:rsidRDefault="00A95CB6" w:rsidP="00FD0F82">
                      <w:pPr>
                        <w:spacing w:line="360" w:lineRule="auto"/>
                        <w:jc w:val="center"/>
                        <w:rPr>
                          <w:color w:val="FFFFFF" w:themeColor="background1"/>
                          <w:sz w:val="32"/>
                        </w:rPr>
                      </w:pPr>
                      <w:r>
                        <w:rPr>
                          <w:color w:val="FFFFFF" w:themeColor="background1"/>
                          <w:sz w:val="32"/>
                        </w:rPr>
                        <w:t>Anslag: 47100</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14:anchorId="79021F47" wp14:editId="6176E7D1">
                <wp:simplePos x="0" y="0"/>
                <wp:positionH relativeFrom="margin">
                  <wp:align>center</wp:align>
                </wp:positionH>
                <wp:positionV relativeFrom="paragraph">
                  <wp:posOffset>5268282</wp:posOffset>
                </wp:positionV>
                <wp:extent cx="4912995" cy="3295650"/>
                <wp:effectExtent l="0" t="0" r="20955" b="19050"/>
                <wp:wrapNone/>
                <wp:docPr id="9" name="Rectangle 9"/>
                <wp:cNvGraphicFramePr/>
                <a:graphic xmlns:a="http://schemas.openxmlformats.org/drawingml/2006/main">
                  <a:graphicData uri="http://schemas.microsoft.com/office/word/2010/wordprocessingShape">
                    <wps:wsp>
                      <wps:cNvSpPr/>
                      <wps:spPr>
                        <a:xfrm>
                          <a:off x="0" y="0"/>
                          <a:ext cx="4912995" cy="329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9DB4E" id="Rectangle 9" o:spid="_x0000_s1026" style="position:absolute;margin-left:0;margin-top:414.85pt;width:386.85pt;height:259.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" fillcolor="#002776 [3204]" strokecolor="#00133a [1604]" strokeweight="2pt">
                <w10:wrap anchorx="margin"/>
              </v:rect>
            </w:pict>
          </mc:Fallback>
        </mc:AlternateContent>
      </w:r>
      <w:r w:rsidR="00DD637A">
        <w:rPr>
          <w:noProof/>
          <w:lang w:eastAsia="da-DK"/>
        </w:rPr>
        <w:drawing>
          <wp:anchor distT="0" distB="0" distL="114300" distR="114300" simplePos="0" relativeHeight="251663360" behindDoc="1" locked="0" layoutInCell="1" allowOverlap="1" wp14:anchorId="10FC0772" wp14:editId="2FB66B58">
            <wp:simplePos x="0" y="0"/>
            <wp:positionH relativeFrom="margin">
              <wp:align>center</wp:align>
            </wp:positionH>
            <wp:positionV relativeFrom="paragraph">
              <wp:posOffset>2593122</wp:posOffset>
            </wp:positionV>
            <wp:extent cx="4558352" cy="2202282"/>
            <wp:effectExtent l="0" t="0" r="0" b="7620"/>
            <wp:wrapTight wrapText="bothSides">
              <wp:wrapPolygon edited="0">
                <wp:start x="0" y="0"/>
                <wp:lineTo x="0" y="21488"/>
                <wp:lineTo x="21486" y="21488"/>
                <wp:lineTo x="21486" y="0"/>
                <wp:lineTo x="0" y="0"/>
              </wp:wrapPolygon>
            </wp:wrapTight>
            <wp:docPr id="14" name="Picture 14" descr="http://www.jernindustri.dk/images/VisBillede.aspx?Avis=LI&amp;Lopenr=109020049&amp;Ref=AR&amp;maxW=640&amp;maxH=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ernindustri.dk/images/VisBillede.aspx?Avis=LI&amp;Lopenr=109020049&amp;Ref=AR&amp;maxW=640&amp;maxH=3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8352" cy="2202282"/>
                    </a:xfrm>
                    <a:prstGeom prst="rect">
                      <a:avLst/>
                    </a:prstGeom>
                    <a:noFill/>
                    <a:ln>
                      <a:noFill/>
                    </a:ln>
                  </pic:spPr>
                </pic:pic>
              </a:graphicData>
            </a:graphic>
            <wp14:sizeRelH relativeFrom="page">
              <wp14:pctWidth>0</wp14:pctWidth>
            </wp14:sizeRelH>
            <wp14:sizeRelV relativeFrom="page">
              <wp14:pctHeight>0</wp14:pctHeight>
            </wp14:sizeRelV>
          </wp:anchor>
        </w:drawing>
      </w:r>
      <w:r w:rsidR="00384CD0">
        <w:br w:type="page"/>
      </w:r>
    </w:p>
    <w:p w:rsidR="00DE4112" w:rsidRDefault="00DE4112" w:rsidP="00384CD0"/>
    <w:p w:rsidR="00DE4112" w:rsidRPr="00DE4112" w:rsidRDefault="00A03272" w:rsidP="00DE4112">
      <w:pPr>
        <w:spacing w:line="360" w:lineRule="auto"/>
        <w:rPr>
          <w:b/>
          <w:sz w:val="32"/>
          <w:lang w:val="en-US"/>
        </w:rPr>
      </w:pPr>
      <w:r>
        <w:rPr>
          <w:b/>
          <w:sz w:val="32"/>
          <w:lang w:val="en-US"/>
        </w:rPr>
        <w:t>Abstract</w:t>
      </w:r>
    </w:p>
    <w:p w:rsidR="00DE4112" w:rsidRPr="005F4479" w:rsidRDefault="00DE4112" w:rsidP="00DE4112">
      <w:pPr>
        <w:spacing w:line="360" w:lineRule="auto"/>
        <w:rPr>
          <w:b/>
          <w:sz w:val="24"/>
          <w:lang w:val="en-US"/>
        </w:rPr>
      </w:pPr>
    </w:p>
    <w:p w:rsidR="00DE4112" w:rsidRPr="00206835" w:rsidRDefault="00DE4112" w:rsidP="00DE4112">
      <w:pPr>
        <w:spacing w:line="360" w:lineRule="auto"/>
        <w:rPr>
          <w:sz w:val="24"/>
          <w:szCs w:val="24"/>
          <w:lang w:val="en-US"/>
        </w:rPr>
      </w:pPr>
      <w:r w:rsidRPr="005F4479">
        <w:rPr>
          <w:sz w:val="24"/>
          <w:szCs w:val="24"/>
          <w:lang w:val="en-US"/>
        </w:rPr>
        <w:t>This paper examines the use of the valuation method, discounted cash flow, and its usefulness in a practical matter, furthermore</w:t>
      </w:r>
      <w:r w:rsidR="003D3834">
        <w:rPr>
          <w:sz w:val="24"/>
          <w:szCs w:val="24"/>
          <w:lang w:val="en-US"/>
        </w:rPr>
        <w:t xml:space="preserve"> it investigates</w:t>
      </w:r>
      <w:r w:rsidRPr="005F4479">
        <w:rPr>
          <w:sz w:val="24"/>
          <w:szCs w:val="24"/>
          <w:lang w:val="en-US"/>
        </w:rPr>
        <w:t xml:space="preserve"> the co</w:t>
      </w:r>
      <w:r w:rsidR="00242E33">
        <w:rPr>
          <w:sz w:val="24"/>
          <w:szCs w:val="24"/>
          <w:lang w:val="en-US"/>
        </w:rPr>
        <w:t>nsiderations that have to be made</w:t>
      </w:r>
      <w:r w:rsidRPr="005F4479">
        <w:rPr>
          <w:sz w:val="24"/>
          <w:szCs w:val="24"/>
          <w:lang w:val="en-US"/>
        </w:rPr>
        <w:t xml:space="preserve"> before an acquisition. </w:t>
      </w:r>
      <w:r w:rsidR="00C3079E">
        <w:rPr>
          <w:sz w:val="24"/>
          <w:szCs w:val="24"/>
          <w:lang w:val="en-US"/>
        </w:rPr>
        <w:t>A</w:t>
      </w:r>
      <w:r w:rsidRPr="005F4479">
        <w:rPr>
          <w:sz w:val="24"/>
          <w:szCs w:val="24"/>
          <w:lang w:val="en-US"/>
        </w:rPr>
        <w:t xml:space="preserve">n analysis </w:t>
      </w:r>
      <w:r w:rsidR="003D3834">
        <w:rPr>
          <w:sz w:val="24"/>
          <w:szCs w:val="24"/>
          <w:lang w:val="en-US"/>
        </w:rPr>
        <w:t xml:space="preserve">of the economic situation of </w:t>
      </w:r>
      <w:r w:rsidRPr="005F4479">
        <w:rPr>
          <w:sz w:val="24"/>
          <w:szCs w:val="24"/>
          <w:lang w:val="en-US"/>
        </w:rPr>
        <w:t>the building and engineering contractor, NCC AB,</w:t>
      </w:r>
      <w:r w:rsidR="00C3079E">
        <w:rPr>
          <w:sz w:val="24"/>
          <w:szCs w:val="24"/>
          <w:lang w:val="en-US"/>
        </w:rPr>
        <w:t xml:space="preserve"> is used to shed light on</w:t>
      </w:r>
      <w:r w:rsidR="00062DF3">
        <w:rPr>
          <w:sz w:val="24"/>
          <w:szCs w:val="24"/>
          <w:lang w:val="en-US"/>
        </w:rPr>
        <w:t xml:space="preserve"> NCC’s</w:t>
      </w:r>
      <w:r w:rsidRPr="005F4479">
        <w:rPr>
          <w:sz w:val="24"/>
          <w:szCs w:val="24"/>
          <w:lang w:val="en-US"/>
        </w:rPr>
        <w:t xml:space="preserve"> ability to support an </w:t>
      </w:r>
      <w:r w:rsidRPr="005F4479">
        <w:rPr>
          <w:color w:val="000000"/>
          <w:sz w:val="24"/>
          <w:szCs w:val="24"/>
          <w:shd w:val="clear" w:color="auto" w:fill="FFFFFF"/>
          <w:lang w:val="en-US"/>
        </w:rPr>
        <w:t>acquisitive expansion by purchasing Huscompagniet A/</w:t>
      </w:r>
      <w:r w:rsidR="003D3834">
        <w:rPr>
          <w:color w:val="000000"/>
          <w:sz w:val="24"/>
          <w:szCs w:val="24"/>
          <w:shd w:val="clear" w:color="auto" w:fill="FFFFFF"/>
          <w:lang w:val="en-US"/>
        </w:rPr>
        <w:t>S</w:t>
      </w:r>
      <w:r w:rsidRPr="005F4479">
        <w:rPr>
          <w:color w:val="000000"/>
          <w:sz w:val="24"/>
          <w:szCs w:val="24"/>
          <w:shd w:val="clear" w:color="auto" w:fill="FFFFFF"/>
          <w:lang w:val="en-US"/>
        </w:rPr>
        <w:t>.  By analyzing</w:t>
      </w:r>
      <w:r w:rsidR="002729B6">
        <w:rPr>
          <w:color w:val="000000"/>
          <w:sz w:val="24"/>
          <w:szCs w:val="24"/>
          <w:shd w:val="clear" w:color="auto" w:fill="FFFFFF"/>
          <w:lang w:val="en-US"/>
        </w:rPr>
        <w:t xml:space="preserve"> the real market value of</w:t>
      </w:r>
      <w:r w:rsidRPr="005F4479">
        <w:rPr>
          <w:color w:val="000000"/>
          <w:sz w:val="24"/>
          <w:szCs w:val="24"/>
          <w:shd w:val="clear" w:color="auto" w:fill="FFFFFF"/>
          <w:lang w:val="en-US"/>
        </w:rPr>
        <w:t xml:space="preserve"> Huscompagniet A/S with the DCF-method, NCC will have an idea of what they need to provide in order to carry through with their possible purchase. By discussing various factors’ influence through a sensitivity analysis</w:t>
      </w:r>
      <w:r w:rsidR="003D3834">
        <w:rPr>
          <w:color w:val="000000"/>
          <w:sz w:val="24"/>
          <w:szCs w:val="24"/>
          <w:shd w:val="clear" w:color="auto" w:fill="FFFFFF"/>
          <w:lang w:val="en-US"/>
        </w:rPr>
        <w:t>,</w:t>
      </w:r>
      <w:r w:rsidRPr="005F4479">
        <w:rPr>
          <w:color w:val="000000"/>
          <w:sz w:val="24"/>
          <w:szCs w:val="24"/>
          <w:shd w:val="clear" w:color="auto" w:fill="FFFFFF"/>
          <w:lang w:val="en-US"/>
        </w:rPr>
        <w:t xml:space="preserve"> several uncertain factors</w:t>
      </w:r>
      <w:r w:rsidR="003D3834">
        <w:rPr>
          <w:color w:val="000000"/>
          <w:sz w:val="24"/>
          <w:szCs w:val="24"/>
          <w:shd w:val="clear" w:color="auto" w:fill="FFFFFF"/>
          <w:lang w:val="en-US"/>
        </w:rPr>
        <w:t xml:space="preserve"> are covered. U</w:t>
      </w:r>
      <w:r w:rsidRPr="005F4479">
        <w:rPr>
          <w:color w:val="000000"/>
          <w:sz w:val="24"/>
          <w:szCs w:val="24"/>
          <w:shd w:val="clear" w:color="auto" w:fill="FFFFFF"/>
          <w:lang w:val="en-US"/>
        </w:rPr>
        <w:t xml:space="preserve">ltimately a discussion of the considerations that NCC must make before an acquisitive expansion and a </w:t>
      </w:r>
      <w:r w:rsidR="00206835">
        <w:rPr>
          <w:color w:val="000000"/>
          <w:sz w:val="24"/>
          <w:szCs w:val="24"/>
          <w:shd w:val="clear" w:color="auto" w:fill="FFFFFF"/>
          <w:lang w:val="en-US"/>
        </w:rPr>
        <w:t>purchase of Huscompagniet.</w:t>
      </w:r>
    </w:p>
    <w:p w:rsidR="00206835" w:rsidRDefault="003D3834" w:rsidP="00DE4112">
      <w:pPr>
        <w:spacing w:line="360" w:lineRule="auto"/>
        <w:rPr>
          <w:color w:val="000000"/>
          <w:sz w:val="24"/>
          <w:szCs w:val="24"/>
          <w:shd w:val="clear" w:color="auto" w:fill="FFFFFF"/>
          <w:lang w:val="en-US"/>
        </w:rPr>
      </w:pPr>
      <w:r>
        <w:rPr>
          <w:color w:val="000000"/>
          <w:sz w:val="24"/>
          <w:szCs w:val="24"/>
          <w:shd w:val="clear" w:color="auto" w:fill="FFFFFF"/>
          <w:lang w:val="en-US"/>
        </w:rPr>
        <w:t>The DCF-method is used to va</w:t>
      </w:r>
      <w:r w:rsidR="002729B6">
        <w:rPr>
          <w:color w:val="000000"/>
          <w:sz w:val="24"/>
          <w:szCs w:val="24"/>
          <w:shd w:val="clear" w:color="auto" w:fill="FFFFFF"/>
          <w:lang w:val="en-US"/>
        </w:rPr>
        <w:t xml:space="preserve">luate Huscompagniet A/S and is </w:t>
      </w:r>
      <w:r w:rsidRPr="005F4479">
        <w:rPr>
          <w:color w:val="000000"/>
          <w:sz w:val="24"/>
          <w:szCs w:val="24"/>
          <w:shd w:val="clear" w:color="auto" w:fill="FFFFFF"/>
          <w:lang w:val="en-US"/>
        </w:rPr>
        <w:t>cho</w:t>
      </w:r>
      <w:r>
        <w:rPr>
          <w:color w:val="000000"/>
          <w:sz w:val="24"/>
          <w:szCs w:val="24"/>
          <w:shd w:val="clear" w:color="auto" w:fill="FFFFFF"/>
          <w:lang w:val="en-US"/>
        </w:rPr>
        <w:t>sen</w:t>
      </w:r>
      <w:r w:rsidR="00DE4112" w:rsidRPr="005F4479">
        <w:rPr>
          <w:color w:val="000000"/>
          <w:sz w:val="24"/>
          <w:szCs w:val="24"/>
          <w:shd w:val="clear" w:color="auto" w:fill="FFFFFF"/>
          <w:lang w:val="en-US"/>
        </w:rPr>
        <w:t xml:space="preserve"> due to its popularity among analysts</w:t>
      </w:r>
      <w:r w:rsidR="00206835">
        <w:rPr>
          <w:color w:val="000000"/>
          <w:sz w:val="24"/>
          <w:szCs w:val="24"/>
          <w:shd w:val="clear" w:color="auto" w:fill="FFFFFF"/>
          <w:lang w:val="en-US"/>
        </w:rPr>
        <w:t xml:space="preserve"> and its ability to be used at your own</w:t>
      </w:r>
      <w:r w:rsidR="00DE4112" w:rsidRPr="005F4479">
        <w:rPr>
          <w:color w:val="000000"/>
          <w:sz w:val="24"/>
          <w:szCs w:val="24"/>
          <w:shd w:val="clear" w:color="auto" w:fill="FFFFFF"/>
          <w:lang w:val="en-US"/>
        </w:rPr>
        <w:t xml:space="preserve"> preferred level of </w:t>
      </w:r>
      <w:r w:rsidR="00206835">
        <w:rPr>
          <w:color w:val="000000"/>
          <w:sz w:val="24"/>
          <w:szCs w:val="24"/>
          <w:shd w:val="clear" w:color="auto" w:fill="FFFFFF"/>
          <w:lang w:val="en-US"/>
        </w:rPr>
        <w:t xml:space="preserve">complexity. </w:t>
      </w:r>
    </w:p>
    <w:p w:rsidR="00206835" w:rsidRDefault="00206835" w:rsidP="00DE4112">
      <w:pPr>
        <w:spacing w:line="360" w:lineRule="auto"/>
        <w:rPr>
          <w:color w:val="000000"/>
          <w:sz w:val="24"/>
          <w:szCs w:val="24"/>
          <w:shd w:val="clear" w:color="auto" w:fill="FFFFFF"/>
          <w:lang w:val="en-US"/>
        </w:rPr>
      </w:pPr>
    </w:p>
    <w:p w:rsidR="00DE4112" w:rsidRPr="005F4479" w:rsidRDefault="00DE4112" w:rsidP="00DE4112">
      <w:pPr>
        <w:spacing w:line="360" w:lineRule="auto"/>
        <w:rPr>
          <w:color w:val="000000"/>
          <w:sz w:val="24"/>
          <w:szCs w:val="24"/>
          <w:shd w:val="clear" w:color="auto" w:fill="FFFFFF"/>
          <w:lang w:val="en-US"/>
        </w:rPr>
      </w:pPr>
      <w:r w:rsidRPr="005F4479">
        <w:rPr>
          <w:color w:val="000000"/>
          <w:sz w:val="24"/>
          <w:szCs w:val="24"/>
          <w:shd w:val="clear" w:color="auto" w:fill="FFFFFF"/>
          <w:lang w:val="en-US"/>
        </w:rPr>
        <w:t>The paper shows NCC’s</w:t>
      </w:r>
      <w:r>
        <w:rPr>
          <w:color w:val="000000"/>
          <w:sz w:val="24"/>
          <w:szCs w:val="24"/>
          <w:shd w:val="clear" w:color="auto" w:fill="FFFFFF"/>
          <w:lang w:val="en-US"/>
        </w:rPr>
        <w:t xml:space="preserve"> fair</w:t>
      </w:r>
      <w:r w:rsidRPr="005F4479">
        <w:rPr>
          <w:color w:val="000000"/>
          <w:sz w:val="24"/>
          <w:szCs w:val="24"/>
          <w:shd w:val="clear" w:color="auto" w:fill="FFFFFF"/>
          <w:lang w:val="en-US"/>
        </w:rPr>
        <w:t xml:space="preserve"> ability to support a purchase of Huscompagniet A/S. </w:t>
      </w:r>
      <w:r w:rsidR="003D3834" w:rsidRPr="005F4479">
        <w:rPr>
          <w:color w:val="000000"/>
          <w:sz w:val="24"/>
          <w:szCs w:val="24"/>
          <w:shd w:val="clear" w:color="auto" w:fill="FFFFFF"/>
          <w:lang w:val="en-US"/>
        </w:rPr>
        <w:t>However,</w:t>
      </w:r>
      <w:r w:rsidRPr="005F4479">
        <w:rPr>
          <w:color w:val="000000"/>
          <w:sz w:val="24"/>
          <w:szCs w:val="24"/>
          <w:shd w:val="clear" w:color="auto" w:fill="FFFFFF"/>
          <w:lang w:val="en-US"/>
        </w:rPr>
        <w:t xml:space="preserve"> </w:t>
      </w:r>
      <w:r>
        <w:rPr>
          <w:color w:val="000000"/>
          <w:sz w:val="24"/>
          <w:szCs w:val="24"/>
          <w:shd w:val="clear" w:color="auto" w:fill="FFFFFF"/>
          <w:lang w:val="en-US"/>
        </w:rPr>
        <w:t xml:space="preserve">it is clear how </w:t>
      </w:r>
      <w:r w:rsidRPr="005F4479">
        <w:rPr>
          <w:color w:val="000000"/>
          <w:sz w:val="24"/>
          <w:szCs w:val="24"/>
          <w:shd w:val="clear" w:color="auto" w:fill="FFFFFF"/>
          <w:lang w:val="en-US"/>
        </w:rPr>
        <w:t xml:space="preserve">vulnerable the market value of Huscompagniet is to changes in the </w:t>
      </w:r>
      <w:r>
        <w:rPr>
          <w:color w:val="000000"/>
          <w:sz w:val="24"/>
          <w:szCs w:val="24"/>
          <w:shd w:val="clear" w:color="auto" w:fill="FFFFFF"/>
          <w:lang w:val="en-US"/>
        </w:rPr>
        <w:t xml:space="preserve">growth rate in the terminal value. </w:t>
      </w:r>
      <w:r w:rsidR="00CC1C5D" w:rsidRPr="000947EA">
        <w:rPr>
          <w:color w:val="000000"/>
          <w:sz w:val="24"/>
          <w:szCs w:val="24"/>
          <w:shd w:val="clear" w:color="auto" w:fill="FFFFFF"/>
          <w:lang w:val="en-US"/>
        </w:rPr>
        <w:t>Furthermore</w:t>
      </w:r>
      <w:r w:rsidR="000B50B2">
        <w:rPr>
          <w:color w:val="000000"/>
          <w:sz w:val="24"/>
          <w:szCs w:val="24"/>
          <w:shd w:val="clear" w:color="auto" w:fill="FFFFFF"/>
          <w:lang w:val="en-US"/>
        </w:rPr>
        <w:t>,</w:t>
      </w:r>
      <w:r w:rsidR="00CC1C5D" w:rsidRPr="000947EA">
        <w:rPr>
          <w:color w:val="000000"/>
          <w:sz w:val="24"/>
          <w:szCs w:val="24"/>
          <w:shd w:val="clear" w:color="auto" w:fill="FFFFFF"/>
          <w:lang w:val="en-US"/>
        </w:rPr>
        <w:t xml:space="preserve"> the</w:t>
      </w:r>
      <w:r w:rsidR="000B50B2">
        <w:rPr>
          <w:color w:val="000000"/>
          <w:sz w:val="24"/>
          <w:szCs w:val="24"/>
          <w:shd w:val="clear" w:color="auto" w:fill="FFFFFF"/>
          <w:lang w:val="en-US"/>
        </w:rPr>
        <w:t xml:space="preserve"> results of the</w:t>
      </w:r>
      <w:r w:rsidR="00CC1C5D" w:rsidRPr="000947EA">
        <w:rPr>
          <w:color w:val="000000"/>
          <w:sz w:val="24"/>
          <w:szCs w:val="24"/>
          <w:shd w:val="clear" w:color="auto" w:fill="FFFFFF"/>
          <w:lang w:val="en-US"/>
        </w:rPr>
        <w:t xml:space="preserve"> study</w:t>
      </w:r>
      <w:r w:rsidR="000B50B2">
        <w:rPr>
          <w:color w:val="000000"/>
          <w:sz w:val="24"/>
          <w:szCs w:val="24"/>
          <w:shd w:val="clear" w:color="auto" w:fill="FFFFFF"/>
          <w:lang w:val="en-US"/>
        </w:rPr>
        <w:t xml:space="preserve"> indicates the</w:t>
      </w:r>
      <w:r w:rsidR="00CC1C5D" w:rsidRPr="000947EA">
        <w:rPr>
          <w:color w:val="000000"/>
          <w:sz w:val="24"/>
          <w:szCs w:val="24"/>
          <w:shd w:val="clear" w:color="auto" w:fill="FFFFFF"/>
          <w:lang w:val="en-US"/>
        </w:rPr>
        <w:t xml:space="preserve"> importance of considering </w:t>
      </w:r>
      <w:r w:rsidR="000947EA">
        <w:rPr>
          <w:color w:val="000000"/>
          <w:sz w:val="24"/>
          <w:szCs w:val="24"/>
          <w:shd w:val="clear" w:color="auto" w:fill="FFFFFF"/>
          <w:lang w:val="en-US"/>
        </w:rPr>
        <w:t>the</w:t>
      </w:r>
      <w:r w:rsidR="000B50B2">
        <w:rPr>
          <w:color w:val="000000"/>
          <w:sz w:val="24"/>
          <w:szCs w:val="24"/>
          <w:shd w:val="clear" w:color="auto" w:fill="FFFFFF"/>
          <w:lang w:val="en-US"/>
        </w:rPr>
        <w:t xml:space="preserve"> future</w:t>
      </w:r>
      <w:r w:rsidR="000947EA">
        <w:rPr>
          <w:color w:val="000000"/>
          <w:sz w:val="24"/>
          <w:szCs w:val="24"/>
          <w:shd w:val="clear" w:color="auto" w:fill="FFFFFF"/>
          <w:lang w:val="en-US"/>
        </w:rPr>
        <w:t xml:space="preserve"> capital structure, financing </w:t>
      </w:r>
      <w:r w:rsidR="000B50B2">
        <w:rPr>
          <w:color w:val="000000"/>
          <w:sz w:val="24"/>
          <w:szCs w:val="24"/>
          <w:shd w:val="clear" w:color="auto" w:fill="FFFFFF"/>
          <w:lang w:val="en-US"/>
        </w:rPr>
        <w:t>and most important: if they are willing to take the risk of trusting a</w:t>
      </w:r>
      <w:r w:rsidR="00F879AD">
        <w:rPr>
          <w:color w:val="000000"/>
          <w:sz w:val="24"/>
          <w:szCs w:val="24"/>
          <w:shd w:val="clear" w:color="auto" w:fill="FFFFFF"/>
          <w:lang w:val="en-US"/>
        </w:rPr>
        <w:t xml:space="preserve"> valuation based on estimates about</w:t>
      </w:r>
      <w:r w:rsidR="000B50B2">
        <w:rPr>
          <w:color w:val="000000"/>
          <w:sz w:val="24"/>
          <w:szCs w:val="24"/>
          <w:shd w:val="clear" w:color="auto" w:fill="FFFFFF"/>
          <w:lang w:val="en-US"/>
        </w:rPr>
        <w:t xml:space="preserve"> the future. </w:t>
      </w:r>
    </w:p>
    <w:p w:rsidR="00DE4112" w:rsidRPr="00DE4112" w:rsidRDefault="00DE4112">
      <w:pPr>
        <w:tabs>
          <w:tab w:val="clear" w:pos="0"/>
          <w:tab w:val="clear" w:pos="567"/>
          <w:tab w:val="clear" w:pos="8902"/>
        </w:tabs>
        <w:spacing w:after="160" w:line="259" w:lineRule="auto"/>
        <w:jc w:val="left"/>
        <w:rPr>
          <w:lang w:val="en-US"/>
        </w:rPr>
      </w:pPr>
      <w:r w:rsidRPr="00DE4112">
        <w:rPr>
          <w:lang w:val="en-US"/>
        </w:rPr>
        <w:br w:type="page"/>
      </w:r>
    </w:p>
    <w:p w:rsidR="00DE4112" w:rsidRPr="00DE4112" w:rsidRDefault="00DE4112" w:rsidP="00384CD0">
      <w:pPr>
        <w:rPr>
          <w:lang w:val="en-US"/>
        </w:rPr>
      </w:pPr>
    </w:p>
    <w:bookmarkStart w:id="0" w:name="_Toc411435381" w:displacedByCustomXml="next"/>
    <w:bookmarkStart w:id="1" w:name="_Toc411429584" w:displacedByCustomXml="next"/>
    <w:bookmarkStart w:id="2" w:name="_Toc411429507" w:displacedByCustomXml="next"/>
    <w:bookmarkStart w:id="3" w:name="_Toc411429473" w:displacedByCustomXml="next"/>
    <w:bookmarkStart w:id="4" w:name="_Toc411421047" w:displacedByCustomXml="next"/>
    <w:bookmarkStart w:id="5" w:name="_Toc411420056" w:displacedByCustomXml="next"/>
    <w:bookmarkStart w:id="6" w:name="_Toc411419326" w:displacedByCustomXml="next"/>
    <w:bookmarkStart w:id="7" w:name="_Toc411418563" w:displacedByCustomXml="next"/>
    <w:sdt>
      <w:sdtPr>
        <w:rPr>
          <w:rFonts w:ascii="Times New Roman" w:eastAsia="Times New Roman" w:hAnsi="Times New Roman" w:cs="Times New Roman"/>
          <w:color w:val="auto"/>
          <w:sz w:val="22"/>
          <w:szCs w:val="20"/>
          <w:lang w:val="da-DK"/>
        </w:rPr>
        <w:id w:val="-644043950"/>
        <w:docPartObj>
          <w:docPartGallery w:val="Table of Contents"/>
          <w:docPartUnique/>
        </w:docPartObj>
      </w:sdtPr>
      <w:sdtEndPr>
        <w:rPr>
          <w:b/>
          <w:bCs/>
          <w:noProof/>
        </w:rPr>
      </w:sdtEndPr>
      <w:sdtContent>
        <w:p w:rsidR="005D7867" w:rsidRPr="007F7FA7" w:rsidRDefault="005D7867" w:rsidP="005D7867">
          <w:pPr>
            <w:pStyle w:val="TOCHeading"/>
            <w:jc w:val="center"/>
            <w:rPr>
              <w:rFonts w:ascii="Times New Roman" w:hAnsi="Times New Roman" w:cs="Times New Roman"/>
              <w:b/>
            </w:rPr>
          </w:pPr>
          <w:r w:rsidRPr="007F7FA7">
            <w:rPr>
              <w:rFonts w:ascii="Times New Roman" w:hAnsi="Times New Roman" w:cs="Times New Roman"/>
              <w:b/>
            </w:rPr>
            <w:t>Indholdsfortegnelse</w:t>
          </w:r>
        </w:p>
        <w:p w:rsidR="000947EA" w:rsidRPr="000947EA" w:rsidRDefault="000947EA" w:rsidP="000947EA">
          <w:pPr>
            <w:rPr>
              <w:lang w:val="en-US"/>
            </w:rPr>
          </w:pPr>
        </w:p>
        <w:p w:rsidR="000947EA" w:rsidRPr="007F7FA7" w:rsidRDefault="005D7867">
          <w:pPr>
            <w:pStyle w:val="TOC2"/>
            <w:rPr>
              <w:rFonts w:asciiTheme="minorHAnsi" w:eastAsiaTheme="minorEastAsia" w:hAnsiTheme="minorHAnsi" w:cstheme="minorBidi"/>
              <w:noProof/>
              <w:szCs w:val="22"/>
              <w:u w:val="single"/>
              <w:lang w:eastAsia="da-DK"/>
            </w:rPr>
          </w:pPr>
          <w:r>
            <w:fldChar w:fldCharType="begin"/>
          </w:r>
          <w:r>
            <w:instrText xml:space="preserve"> TOC \o "1-6" \h \z \u </w:instrText>
          </w:r>
          <w:r>
            <w:fldChar w:fldCharType="separate"/>
          </w:r>
          <w:hyperlink w:anchor="_Toc411525379" w:history="1">
            <w:r w:rsidR="000947EA" w:rsidRPr="007F7FA7">
              <w:rPr>
                <w:rStyle w:val="Hyperlink"/>
                <w:noProof/>
              </w:rPr>
              <w:t>1. Indledning:</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_Toc411525379 \h </w:instrText>
            </w:r>
            <w:r w:rsidR="000947EA" w:rsidRPr="007F7FA7">
              <w:rPr>
                <w:noProof/>
                <w:webHidden/>
                <w:u w:val="single"/>
              </w:rPr>
            </w:r>
            <w:r w:rsidR="000947EA" w:rsidRPr="007F7FA7">
              <w:rPr>
                <w:noProof/>
                <w:webHidden/>
                <w:u w:val="single"/>
              </w:rPr>
              <w:fldChar w:fldCharType="separate"/>
            </w:r>
            <w:r w:rsidR="002F794E">
              <w:rPr>
                <w:noProof/>
                <w:webHidden/>
                <w:u w:val="single"/>
              </w:rPr>
              <w:t>1</w:t>
            </w:r>
            <w:r w:rsidR="000947EA" w:rsidRPr="007F7FA7">
              <w:rPr>
                <w:noProof/>
                <w:webHidden/>
                <w:u w:val="single"/>
              </w:rPr>
              <w:fldChar w:fldCharType="end"/>
            </w:r>
          </w:hyperlink>
        </w:p>
        <w:p w:rsidR="000947EA" w:rsidRPr="007F7FA7" w:rsidRDefault="00F24B46">
          <w:pPr>
            <w:pStyle w:val="TOC2"/>
            <w:rPr>
              <w:rFonts w:asciiTheme="minorHAnsi" w:eastAsiaTheme="minorEastAsia" w:hAnsiTheme="minorHAnsi" w:cstheme="minorBidi"/>
              <w:noProof/>
              <w:szCs w:val="22"/>
              <w:u w:val="single"/>
              <w:lang w:eastAsia="da-DK"/>
            </w:rPr>
          </w:pPr>
          <w:hyperlink w:anchor="_Toc411525380" w:history="1">
            <w:r w:rsidR="000947EA" w:rsidRPr="007F7FA7">
              <w:rPr>
                <w:rStyle w:val="Hyperlink"/>
                <w:noProof/>
              </w:rPr>
              <w:t>2. Afgrænsning:</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_Toc411525380 \h </w:instrText>
            </w:r>
            <w:r w:rsidR="000947EA" w:rsidRPr="007F7FA7">
              <w:rPr>
                <w:noProof/>
                <w:webHidden/>
                <w:u w:val="single"/>
              </w:rPr>
            </w:r>
            <w:r w:rsidR="000947EA" w:rsidRPr="007F7FA7">
              <w:rPr>
                <w:noProof/>
                <w:webHidden/>
                <w:u w:val="single"/>
              </w:rPr>
              <w:fldChar w:fldCharType="separate"/>
            </w:r>
            <w:r w:rsidR="002F794E">
              <w:rPr>
                <w:noProof/>
                <w:webHidden/>
                <w:u w:val="single"/>
              </w:rPr>
              <w:t>1</w:t>
            </w:r>
            <w:r w:rsidR="000947EA" w:rsidRPr="007F7FA7">
              <w:rPr>
                <w:noProof/>
                <w:webHidden/>
                <w:u w:val="single"/>
              </w:rPr>
              <w:fldChar w:fldCharType="end"/>
            </w:r>
          </w:hyperlink>
        </w:p>
        <w:p w:rsidR="000947EA" w:rsidRPr="007F7FA7" w:rsidRDefault="00F24B46">
          <w:pPr>
            <w:pStyle w:val="TOC2"/>
            <w:rPr>
              <w:rFonts w:asciiTheme="minorHAnsi" w:eastAsiaTheme="minorEastAsia" w:hAnsiTheme="minorHAnsi" w:cstheme="minorBidi"/>
              <w:noProof/>
              <w:szCs w:val="22"/>
              <w:u w:val="single"/>
              <w:lang w:eastAsia="da-DK"/>
            </w:rPr>
          </w:pPr>
          <w:hyperlink w:anchor="_Toc411525381" w:history="1">
            <w:r w:rsidR="000947EA" w:rsidRPr="007F7FA7">
              <w:rPr>
                <w:rStyle w:val="Hyperlink"/>
                <w:noProof/>
              </w:rPr>
              <w:t>3. Metodeafsnit</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_Toc411525381 \h </w:instrText>
            </w:r>
            <w:r w:rsidR="000947EA" w:rsidRPr="007F7FA7">
              <w:rPr>
                <w:noProof/>
                <w:webHidden/>
                <w:u w:val="single"/>
              </w:rPr>
            </w:r>
            <w:r w:rsidR="000947EA" w:rsidRPr="007F7FA7">
              <w:rPr>
                <w:noProof/>
                <w:webHidden/>
                <w:u w:val="single"/>
              </w:rPr>
              <w:fldChar w:fldCharType="separate"/>
            </w:r>
            <w:r w:rsidR="002F794E">
              <w:rPr>
                <w:noProof/>
                <w:webHidden/>
                <w:u w:val="single"/>
              </w:rPr>
              <w:t>2</w:t>
            </w:r>
            <w:r w:rsidR="000947EA" w:rsidRPr="007F7FA7">
              <w:rPr>
                <w:noProof/>
                <w:webHidden/>
                <w:u w:val="single"/>
              </w:rPr>
              <w:fldChar w:fldCharType="end"/>
            </w:r>
          </w:hyperlink>
        </w:p>
        <w:p w:rsidR="000947EA" w:rsidRPr="007F7FA7" w:rsidRDefault="00F24B46">
          <w:pPr>
            <w:pStyle w:val="TOC2"/>
            <w:rPr>
              <w:rFonts w:asciiTheme="minorHAnsi" w:eastAsiaTheme="minorEastAsia" w:hAnsiTheme="minorHAnsi" w:cstheme="minorBidi"/>
              <w:noProof/>
              <w:szCs w:val="22"/>
              <w:u w:val="single"/>
              <w:lang w:eastAsia="da-DK"/>
            </w:rPr>
          </w:pPr>
          <w:hyperlink w:anchor="_Toc411525382" w:history="1">
            <w:r w:rsidR="000947EA" w:rsidRPr="007F7FA7">
              <w:rPr>
                <w:rStyle w:val="Hyperlink"/>
                <w:noProof/>
              </w:rPr>
              <w:t>4. Værdiansættelsesmetode</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_Toc411525382 \h </w:instrText>
            </w:r>
            <w:r w:rsidR="000947EA" w:rsidRPr="007F7FA7">
              <w:rPr>
                <w:noProof/>
                <w:webHidden/>
                <w:u w:val="single"/>
              </w:rPr>
            </w:r>
            <w:r w:rsidR="000947EA" w:rsidRPr="007F7FA7">
              <w:rPr>
                <w:noProof/>
                <w:webHidden/>
                <w:u w:val="single"/>
              </w:rPr>
              <w:fldChar w:fldCharType="separate"/>
            </w:r>
            <w:r w:rsidR="002F794E">
              <w:rPr>
                <w:noProof/>
                <w:webHidden/>
                <w:u w:val="single"/>
              </w:rPr>
              <w:t>2</w:t>
            </w:r>
            <w:r w:rsidR="000947EA" w:rsidRPr="007F7FA7">
              <w:rPr>
                <w:noProof/>
                <w:webHidden/>
                <w:u w:val="single"/>
              </w:rPr>
              <w:fldChar w:fldCharType="end"/>
            </w:r>
          </w:hyperlink>
        </w:p>
        <w:p w:rsidR="000947EA" w:rsidRPr="007F7FA7" w:rsidRDefault="00F24B46" w:rsidP="007F7FA7">
          <w:pPr>
            <w:pStyle w:val="TOC3"/>
            <w:ind w:left="567"/>
            <w:rPr>
              <w:rFonts w:asciiTheme="minorHAnsi" w:eastAsiaTheme="minorEastAsia" w:hAnsiTheme="minorHAnsi" w:cstheme="minorBidi"/>
              <w:noProof/>
              <w:szCs w:val="22"/>
              <w:u w:val="single"/>
              <w:lang w:eastAsia="da-DK"/>
            </w:rPr>
          </w:pPr>
          <w:hyperlink w:anchor="_Toc411525383" w:history="1">
            <w:r w:rsidR="000947EA" w:rsidRPr="007F7FA7">
              <w:rPr>
                <w:rStyle w:val="Hyperlink"/>
                <w:noProof/>
              </w:rPr>
              <w:t>4.1 DCF- Modellen</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_Toc411525383 \h </w:instrText>
            </w:r>
            <w:r w:rsidR="000947EA" w:rsidRPr="007F7FA7">
              <w:rPr>
                <w:noProof/>
                <w:webHidden/>
                <w:u w:val="single"/>
              </w:rPr>
            </w:r>
            <w:r w:rsidR="000947EA" w:rsidRPr="007F7FA7">
              <w:rPr>
                <w:noProof/>
                <w:webHidden/>
                <w:u w:val="single"/>
              </w:rPr>
              <w:fldChar w:fldCharType="separate"/>
            </w:r>
            <w:r w:rsidR="002F794E">
              <w:rPr>
                <w:noProof/>
                <w:webHidden/>
                <w:u w:val="single"/>
              </w:rPr>
              <w:t>2</w:t>
            </w:r>
            <w:r w:rsidR="000947EA" w:rsidRPr="007F7FA7">
              <w:rPr>
                <w:noProof/>
                <w:webHidden/>
                <w:u w:val="single"/>
              </w:rPr>
              <w:fldChar w:fldCharType="end"/>
            </w:r>
          </w:hyperlink>
        </w:p>
        <w:p w:rsidR="000947EA" w:rsidRPr="007F7FA7" w:rsidRDefault="00F24B46" w:rsidP="007F7FA7">
          <w:pPr>
            <w:pStyle w:val="TOC3"/>
            <w:ind w:left="567"/>
            <w:rPr>
              <w:rFonts w:asciiTheme="minorHAnsi" w:eastAsiaTheme="minorEastAsia" w:hAnsiTheme="minorHAnsi" w:cstheme="minorBidi"/>
              <w:noProof/>
              <w:szCs w:val="22"/>
              <w:u w:val="single"/>
              <w:lang w:eastAsia="da-DK"/>
            </w:rPr>
          </w:pPr>
          <w:hyperlink w:anchor="_Toc411525384" w:history="1">
            <w:r w:rsidR="000947EA" w:rsidRPr="007F7FA7">
              <w:rPr>
                <w:rStyle w:val="Hyperlink"/>
                <w:noProof/>
                <w:shd w:val="clear" w:color="auto" w:fill="FFFFFF"/>
              </w:rPr>
              <w:t>4.2 Følsomhedsanalyse</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_Toc411525384 \h </w:instrText>
            </w:r>
            <w:r w:rsidR="000947EA" w:rsidRPr="007F7FA7">
              <w:rPr>
                <w:noProof/>
                <w:webHidden/>
                <w:u w:val="single"/>
              </w:rPr>
            </w:r>
            <w:r w:rsidR="000947EA" w:rsidRPr="007F7FA7">
              <w:rPr>
                <w:noProof/>
                <w:webHidden/>
                <w:u w:val="single"/>
              </w:rPr>
              <w:fldChar w:fldCharType="separate"/>
            </w:r>
            <w:r w:rsidR="002F794E">
              <w:rPr>
                <w:noProof/>
                <w:webHidden/>
                <w:u w:val="single"/>
              </w:rPr>
              <w:t>6</w:t>
            </w:r>
            <w:r w:rsidR="000947EA" w:rsidRPr="007F7FA7">
              <w:rPr>
                <w:noProof/>
                <w:webHidden/>
                <w:u w:val="single"/>
              </w:rPr>
              <w:fldChar w:fldCharType="end"/>
            </w:r>
          </w:hyperlink>
        </w:p>
        <w:p w:rsidR="000947EA" w:rsidRPr="007F7FA7" w:rsidRDefault="00F24B46">
          <w:pPr>
            <w:pStyle w:val="TOC3"/>
            <w:rPr>
              <w:rFonts w:asciiTheme="minorHAnsi" w:eastAsiaTheme="minorEastAsia" w:hAnsiTheme="minorHAnsi" w:cstheme="minorBidi"/>
              <w:noProof/>
              <w:szCs w:val="22"/>
              <w:u w:val="single"/>
              <w:lang w:eastAsia="da-DK"/>
            </w:rPr>
          </w:pPr>
          <w:hyperlink w:anchor="_Toc411525385" w:history="1">
            <w:r w:rsidR="001764C0">
              <w:rPr>
                <w:rStyle w:val="Hyperlink"/>
                <w:noProof/>
              </w:rPr>
              <w:t>5. Økonomisk analyse af NCC</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_Toc411525385 \h </w:instrText>
            </w:r>
            <w:r w:rsidR="000947EA" w:rsidRPr="007F7FA7">
              <w:rPr>
                <w:noProof/>
                <w:webHidden/>
                <w:u w:val="single"/>
              </w:rPr>
            </w:r>
            <w:r w:rsidR="000947EA" w:rsidRPr="007F7FA7">
              <w:rPr>
                <w:noProof/>
                <w:webHidden/>
                <w:u w:val="single"/>
              </w:rPr>
              <w:fldChar w:fldCharType="separate"/>
            </w:r>
            <w:r w:rsidR="002F794E">
              <w:rPr>
                <w:noProof/>
                <w:webHidden/>
                <w:u w:val="single"/>
              </w:rPr>
              <w:t>6</w:t>
            </w:r>
            <w:r w:rsidR="000947EA" w:rsidRPr="007F7FA7">
              <w:rPr>
                <w:noProof/>
                <w:webHidden/>
                <w:u w:val="single"/>
              </w:rPr>
              <w:fldChar w:fldCharType="end"/>
            </w:r>
          </w:hyperlink>
        </w:p>
        <w:p w:rsidR="000947EA" w:rsidRPr="007F7FA7" w:rsidRDefault="00F24B46" w:rsidP="007F7FA7">
          <w:pPr>
            <w:pStyle w:val="TOC4"/>
            <w:ind w:left="567"/>
            <w:rPr>
              <w:rFonts w:asciiTheme="minorHAnsi" w:eastAsiaTheme="minorEastAsia" w:hAnsiTheme="minorHAnsi" w:cstheme="minorBidi"/>
              <w:noProof/>
              <w:szCs w:val="22"/>
              <w:u w:val="single"/>
              <w:lang w:eastAsia="da-DK"/>
            </w:rPr>
          </w:pPr>
          <w:hyperlink w:anchor="_Toc411525386" w:history="1">
            <w:r w:rsidR="000947EA" w:rsidRPr="007F7FA7">
              <w:rPr>
                <w:rStyle w:val="Hyperlink"/>
                <w:noProof/>
              </w:rPr>
              <w:t>5. 1 Rentabilitetsanalyse</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_Toc411525386 \h </w:instrText>
            </w:r>
            <w:r w:rsidR="000947EA" w:rsidRPr="007F7FA7">
              <w:rPr>
                <w:noProof/>
                <w:webHidden/>
                <w:u w:val="single"/>
              </w:rPr>
            </w:r>
            <w:r w:rsidR="000947EA" w:rsidRPr="007F7FA7">
              <w:rPr>
                <w:noProof/>
                <w:webHidden/>
                <w:u w:val="single"/>
              </w:rPr>
              <w:fldChar w:fldCharType="separate"/>
            </w:r>
            <w:r w:rsidR="002F794E">
              <w:rPr>
                <w:noProof/>
                <w:webHidden/>
                <w:u w:val="single"/>
              </w:rPr>
              <w:t>7</w:t>
            </w:r>
            <w:r w:rsidR="000947EA" w:rsidRPr="007F7FA7">
              <w:rPr>
                <w:noProof/>
                <w:webHidden/>
                <w:u w:val="single"/>
              </w:rPr>
              <w:fldChar w:fldCharType="end"/>
            </w:r>
          </w:hyperlink>
        </w:p>
        <w:p w:rsidR="000947EA" w:rsidRPr="007F7FA7" w:rsidRDefault="00F24B46" w:rsidP="007F7FA7">
          <w:pPr>
            <w:pStyle w:val="TOC5"/>
            <w:ind w:left="1304"/>
            <w:rPr>
              <w:rFonts w:asciiTheme="minorHAnsi" w:eastAsiaTheme="minorEastAsia" w:hAnsiTheme="minorHAnsi" w:cstheme="minorBidi"/>
              <w:noProof/>
              <w:szCs w:val="22"/>
              <w:u w:val="single"/>
              <w:lang w:eastAsia="da-DK"/>
            </w:rPr>
          </w:pPr>
          <w:hyperlink w:anchor="_Toc411525387" w:history="1">
            <w:r w:rsidR="000947EA" w:rsidRPr="007F7FA7">
              <w:rPr>
                <w:rStyle w:val="Hyperlink"/>
                <w:noProof/>
              </w:rPr>
              <w:t>5.1.1 Afkastningsgraden</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_Toc411525387 \h </w:instrText>
            </w:r>
            <w:r w:rsidR="000947EA" w:rsidRPr="007F7FA7">
              <w:rPr>
                <w:noProof/>
                <w:webHidden/>
                <w:u w:val="single"/>
              </w:rPr>
            </w:r>
            <w:r w:rsidR="000947EA" w:rsidRPr="007F7FA7">
              <w:rPr>
                <w:noProof/>
                <w:webHidden/>
                <w:u w:val="single"/>
              </w:rPr>
              <w:fldChar w:fldCharType="separate"/>
            </w:r>
            <w:r w:rsidR="002F794E">
              <w:rPr>
                <w:noProof/>
                <w:webHidden/>
                <w:u w:val="single"/>
              </w:rPr>
              <w:t>7</w:t>
            </w:r>
            <w:r w:rsidR="000947EA" w:rsidRPr="007F7FA7">
              <w:rPr>
                <w:noProof/>
                <w:webHidden/>
                <w:u w:val="single"/>
              </w:rPr>
              <w:fldChar w:fldCharType="end"/>
            </w:r>
          </w:hyperlink>
        </w:p>
        <w:p w:rsidR="000947EA" w:rsidRPr="007F7FA7" w:rsidRDefault="00F24B46" w:rsidP="007F7FA7">
          <w:pPr>
            <w:pStyle w:val="TOC5"/>
            <w:ind w:left="1304"/>
            <w:rPr>
              <w:rFonts w:asciiTheme="minorHAnsi" w:eastAsiaTheme="minorEastAsia" w:hAnsiTheme="minorHAnsi" w:cstheme="minorBidi"/>
              <w:noProof/>
              <w:szCs w:val="22"/>
              <w:u w:val="single"/>
              <w:lang w:eastAsia="da-DK"/>
            </w:rPr>
          </w:pPr>
          <w:hyperlink w:anchor="_Toc411525388" w:history="1">
            <w:r w:rsidR="000947EA" w:rsidRPr="007F7FA7">
              <w:rPr>
                <w:rStyle w:val="Hyperlink"/>
                <w:noProof/>
              </w:rPr>
              <w:t>5.1.2 Overskudsgraden</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_Toc411525388 \h </w:instrText>
            </w:r>
            <w:r w:rsidR="000947EA" w:rsidRPr="007F7FA7">
              <w:rPr>
                <w:noProof/>
                <w:webHidden/>
                <w:u w:val="single"/>
              </w:rPr>
            </w:r>
            <w:r w:rsidR="000947EA" w:rsidRPr="007F7FA7">
              <w:rPr>
                <w:noProof/>
                <w:webHidden/>
                <w:u w:val="single"/>
              </w:rPr>
              <w:fldChar w:fldCharType="separate"/>
            </w:r>
            <w:r w:rsidR="002F794E">
              <w:rPr>
                <w:noProof/>
                <w:webHidden/>
                <w:u w:val="single"/>
              </w:rPr>
              <w:t>8</w:t>
            </w:r>
            <w:r w:rsidR="000947EA" w:rsidRPr="007F7FA7">
              <w:rPr>
                <w:noProof/>
                <w:webHidden/>
                <w:u w:val="single"/>
              </w:rPr>
              <w:fldChar w:fldCharType="end"/>
            </w:r>
          </w:hyperlink>
        </w:p>
        <w:p w:rsidR="000947EA" w:rsidRPr="007F7FA7" w:rsidRDefault="00F24B46" w:rsidP="007F7FA7">
          <w:pPr>
            <w:pStyle w:val="TOC5"/>
            <w:ind w:left="1304"/>
            <w:rPr>
              <w:rFonts w:asciiTheme="minorHAnsi" w:eastAsiaTheme="minorEastAsia" w:hAnsiTheme="minorHAnsi" w:cstheme="minorBidi"/>
              <w:noProof/>
              <w:szCs w:val="22"/>
              <w:u w:val="single"/>
              <w:lang w:eastAsia="da-DK"/>
            </w:rPr>
          </w:pPr>
          <w:hyperlink w:anchor="_Toc411525389" w:history="1">
            <w:r w:rsidR="000947EA" w:rsidRPr="007F7FA7">
              <w:rPr>
                <w:rStyle w:val="Hyperlink"/>
                <w:noProof/>
              </w:rPr>
              <w:t>5.1.3 Aktivernes omsætningshastighed</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_Toc411525389 \h </w:instrText>
            </w:r>
            <w:r w:rsidR="000947EA" w:rsidRPr="007F7FA7">
              <w:rPr>
                <w:noProof/>
                <w:webHidden/>
                <w:u w:val="single"/>
              </w:rPr>
            </w:r>
            <w:r w:rsidR="000947EA" w:rsidRPr="007F7FA7">
              <w:rPr>
                <w:noProof/>
                <w:webHidden/>
                <w:u w:val="single"/>
              </w:rPr>
              <w:fldChar w:fldCharType="separate"/>
            </w:r>
            <w:r w:rsidR="002F794E">
              <w:rPr>
                <w:noProof/>
                <w:webHidden/>
                <w:u w:val="single"/>
              </w:rPr>
              <w:t>9</w:t>
            </w:r>
            <w:r w:rsidR="000947EA" w:rsidRPr="007F7FA7">
              <w:rPr>
                <w:noProof/>
                <w:webHidden/>
                <w:u w:val="single"/>
              </w:rPr>
              <w:fldChar w:fldCharType="end"/>
            </w:r>
          </w:hyperlink>
        </w:p>
        <w:p w:rsidR="000947EA" w:rsidRPr="007F7FA7" w:rsidRDefault="00F24B46" w:rsidP="007F7FA7">
          <w:pPr>
            <w:pStyle w:val="TOC5"/>
            <w:ind w:left="1304"/>
            <w:rPr>
              <w:rFonts w:asciiTheme="minorHAnsi" w:eastAsiaTheme="minorEastAsia" w:hAnsiTheme="minorHAnsi" w:cstheme="minorBidi"/>
              <w:noProof/>
              <w:szCs w:val="22"/>
              <w:u w:val="single"/>
              <w:lang w:eastAsia="da-DK"/>
            </w:rPr>
          </w:pPr>
          <w:hyperlink w:anchor="_Toc411525390" w:history="1">
            <w:r w:rsidR="000947EA" w:rsidRPr="007F7FA7">
              <w:rPr>
                <w:rStyle w:val="Hyperlink"/>
                <w:noProof/>
              </w:rPr>
              <w:t>5.1.4 Egenkapitals forrentning</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_Toc411525390 \h </w:instrText>
            </w:r>
            <w:r w:rsidR="000947EA" w:rsidRPr="007F7FA7">
              <w:rPr>
                <w:noProof/>
                <w:webHidden/>
                <w:u w:val="single"/>
              </w:rPr>
            </w:r>
            <w:r w:rsidR="000947EA" w:rsidRPr="007F7FA7">
              <w:rPr>
                <w:noProof/>
                <w:webHidden/>
                <w:u w:val="single"/>
              </w:rPr>
              <w:fldChar w:fldCharType="separate"/>
            </w:r>
            <w:r w:rsidR="002F794E">
              <w:rPr>
                <w:noProof/>
                <w:webHidden/>
                <w:u w:val="single"/>
              </w:rPr>
              <w:t>10</w:t>
            </w:r>
            <w:r w:rsidR="000947EA" w:rsidRPr="007F7FA7">
              <w:rPr>
                <w:noProof/>
                <w:webHidden/>
                <w:u w:val="single"/>
              </w:rPr>
              <w:fldChar w:fldCharType="end"/>
            </w:r>
          </w:hyperlink>
        </w:p>
        <w:p w:rsidR="000947EA" w:rsidRPr="007F7FA7" w:rsidRDefault="00F24B46" w:rsidP="007F7FA7">
          <w:pPr>
            <w:pStyle w:val="TOC4"/>
            <w:ind w:left="567"/>
            <w:rPr>
              <w:rFonts w:asciiTheme="minorHAnsi" w:eastAsiaTheme="minorEastAsia" w:hAnsiTheme="minorHAnsi" w:cstheme="minorBidi"/>
              <w:noProof/>
              <w:szCs w:val="22"/>
              <w:u w:val="single"/>
              <w:lang w:eastAsia="da-DK"/>
            </w:rPr>
          </w:pPr>
          <w:hyperlink w:anchor="_Toc411525391" w:history="1">
            <w:r w:rsidR="000947EA" w:rsidRPr="007F7FA7">
              <w:rPr>
                <w:rStyle w:val="Hyperlink"/>
                <w:noProof/>
              </w:rPr>
              <w:t>5.2 Analyse af likviditet og soliditet</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_Toc411525391 \h </w:instrText>
            </w:r>
            <w:r w:rsidR="000947EA" w:rsidRPr="007F7FA7">
              <w:rPr>
                <w:noProof/>
                <w:webHidden/>
                <w:u w:val="single"/>
              </w:rPr>
            </w:r>
            <w:r w:rsidR="000947EA" w:rsidRPr="007F7FA7">
              <w:rPr>
                <w:noProof/>
                <w:webHidden/>
                <w:u w:val="single"/>
              </w:rPr>
              <w:fldChar w:fldCharType="separate"/>
            </w:r>
            <w:r w:rsidR="002F794E">
              <w:rPr>
                <w:noProof/>
                <w:webHidden/>
                <w:u w:val="single"/>
              </w:rPr>
              <w:t>11</w:t>
            </w:r>
            <w:r w:rsidR="000947EA" w:rsidRPr="007F7FA7">
              <w:rPr>
                <w:noProof/>
                <w:webHidden/>
                <w:u w:val="single"/>
              </w:rPr>
              <w:fldChar w:fldCharType="end"/>
            </w:r>
          </w:hyperlink>
        </w:p>
        <w:p w:rsidR="000947EA" w:rsidRPr="007F7FA7" w:rsidRDefault="00F24B46" w:rsidP="007F7FA7">
          <w:pPr>
            <w:pStyle w:val="TOC5"/>
            <w:ind w:left="1304"/>
            <w:rPr>
              <w:rFonts w:asciiTheme="minorHAnsi" w:eastAsiaTheme="minorEastAsia" w:hAnsiTheme="minorHAnsi" w:cstheme="minorBidi"/>
              <w:noProof/>
              <w:szCs w:val="22"/>
              <w:u w:val="single"/>
              <w:lang w:eastAsia="da-DK"/>
            </w:rPr>
          </w:pPr>
          <w:hyperlink w:anchor="_Toc411525392" w:history="1">
            <w:r w:rsidR="001764C0">
              <w:rPr>
                <w:rStyle w:val="Hyperlink"/>
                <w:noProof/>
              </w:rPr>
              <w:t>5.2.1 Likviditetsgrad</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_Toc411525392 \h </w:instrText>
            </w:r>
            <w:r w:rsidR="000947EA" w:rsidRPr="007F7FA7">
              <w:rPr>
                <w:noProof/>
                <w:webHidden/>
                <w:u w:val="single"/>
              </w:rPr>
            </w:r>
            <w:r w:rsidR="000947EA" w:rsidRPr="007F7FA7">
              <w:rPr>
                <w:noProof/>
                <w:webHidden/>
                <w:u w:val="single"/>
              </w:rPr>
              <w:fldChar w:fldCharType="separate"/>
            </w:r>
            <w:r w:rsidR="002F794E">
              <w:rPr>
                <w:noProof/>
                <w:webHidden/>
                <w:u w:val="single"/>
              </w:rPr>
              <w:t>11</w:t>
            </w:r>
            <w:r w:rsidR="000947EA" w:rsidRPr="007F7FA7">
              <w:rPr>
                <w:noProof/>
                <w:webHidden/>
                <w:u w:val="single"/>
              </w:rPr>
              <w:fldChar w:fldCharType="end"/>
            </w:r>
          </w:hyperlink>
        </w:p>
        <w:p w:rsidR="000947EA" w:rsidRPr="007F7FA7" w:rsidRDefault="00F24B46" w:rsidP="007F7FA7">
          <w:pPr>
            <w:pStyle w:val="TOC5"/>
            <w:ind w:left="1304"/>
            <w:rPr>
              <w:rFonts w:asciiTheme="minorHAnsi" w:eastAsiaTheme="minorEastAsia" w:hAnsiTheme="minorHAnsi" w:cstheme="minorBidi"/>
              <w:noProof/>
              <w:szCs w:val="22"/>
              <w:u w:val="single"/>
              <w:lang w:eastAsia="da-DK"/>
            </w:rPr>
          </w:pPr>
          <w:hyperlink w:anchor="_Toc411525393" w:history="1">
            <w:r w:rsidR="001764C0">
              <w:rPr>
                <w:rStyle w:val="Hyperlink"/>
                <w:noProof/>
              </w:rPr>
              <w:t>5.2.2 Soliditetsgrad</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_Toc411525393 \h </w:instrText>
            </w:r>
            <w:r w:rsidR="000947EA" w:rsidRPr="007F7FA7">
              <w:rPr>
                <w:noProof/>
                <w:webHidden/>
                <w:u w:val="single"/>
              </w:rPr>
            </w:r>
            <w:r w:rsidR="000947EA" w:rsidRPr="007F7FA7">
              <w:rPr>
                <w:noProof/>
                <w:webHidden/>
                <w:u w:val="single"/>
              </w:rPr>
              <w:fldChar w:fldCharType="separate"/>
            </w:r>
            <w:r w:rsidR="002F794E">
              <w:rPr>
                <w:noProof/>
                <w:webHidden/>
                <w:u w:val="single"/>
              </w:rPr>
              <w:t>11</w:t>
            </w:r>
            <w:r w:rsidR="000947EA" w:rsidRPr="007F7FA7">
              <w:rPr>
                <w:noProof/>
                <w:webHidden/>
                <w:u w:val="single"/>
              </w:rPr>
              <w:fldChar w:fldCharType="end"/>
            </w:r>
          </w:hyperlink>
        </w:p>
        <w:p w:rsidR="000947EA" w:rsidRPr="007F7FA7" w:rsidRDefault="00F24B46" w:rsidP="007F7FA7">
          <w:pPr>
            <w:pStyle w:val="TOC4"/>
            <w:ind w:left="567"/>
            <w:rPr>
              <w:rFonts w:asciiTheme="minorHAnsi" w:eastAsiaTheme="minorEastAsia" w:hAnsiTheme="minorHAnsi" w:cstheme="minorBidi"/>
              <w:noProof/>
              <w:szCs w:val="22"/>
              <w:u w:val="single"/>
              <w:lang w:eastAsia="da-DK"/>
            </w:rPr>
          </w:pPr>
          <w:hyperlink w:anchor="_Toc411525394" w:history="1">
            <w:r w:rsidR="000947EA" w:rsidRPr="007F7FA7">
              <w:rPr>
                <w:rStyle w:val="Hyperlink"/>
                <w:noProof/>
              </w:rPr>
              <w:t>5.3 Analyse af pengestrømme</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_Toc411525394 \h </w:instrText>
            </w:r>
            <w:r w:rsidR="000947EA" w:rsidRPr="007F7FA7">
              <w:rPr>
                <w:noProof/>
                <w:webHidden/>
                <w:u w:val="single"/>
              </w:rPr>
            </w:r>
            <w:r w:rsidR="000947EA" w:rsidRPr="007F7FA7">
              <w:rPr>
                <w:noProof/>
                <w:webHidden/>
                <w:u w:val="single"/>
              </w:rPr>
              <w:fldChar w:fldCharType="separate"/>
            </w:r>
            <w:r w:rsidR="002F794E">
              <w:rPr>
                <w:noProof/>
                <w:webHidden/>
                <w:u w:val="single"/>
              </w:rPr>
              <w:t>12</w:t>
            </w:r>
            <w:r w:rsidR="000947EA" w:rsidRPr="007F7FA7">
              <w:rPr>
                <w:noProof/>
                <w:webHidden/>
                <w:u w:val="single"/>
              </w:rPr>
              <w:fldChar w:fldCharType="end"/>
            </w:r>
          </w:hyperlink>
        </w:p>
        <w:p w:rsidR="000947EA" w:rsidRPr="007F7FA7" w:rsidRDefault="00F24B46">
          <w:pPr>
            <w:pStyle w:val="TOC3"/>
            <w:rPr>
              <w:rFonts w:asciiTheme="minorHAnsi" w:eastAsiaTheme="minorEastAsia" w:hAnsiTheme="minorHAnsi" w:cstheme="minorBidi"/>
              <w:noProof/>
              <w:szCs w:val="22"/>
              <w:u w:val="single"/>
              <w:lang w:eastAsia="da-DK"/>
            </w:rPr>
          </w:pPr>
          <w:hyperlink w:anchor="_Toc411525395" w:history="1">
            <w:r w:rsidR="00A06F26">
              <w:rPr>
                <w:rStyle w:val="Hyperlink"/>
                <w:noProof/>
              </w:rPr>
              <w:t>6. Værdiansættelse af Husc</w:t>
            </w:r>
            <w:r w:rsidR="000947EA" w:rsidRPr="007F7FA7">
              <w:rPr>
                <w:rStyle w:val="Hyperlink"/>
                <w:noProof/>
              </w:rPr>
              <w:t>ompagniet.</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_Toc411525395 \h </w:instrText>
            </w:r>
            <w:r w:rsidR="000947EA" w:rsidRPr="007F7FA7">
              <w:rPr>
                <w:noProof/>
                <w:webHidden/>
                <w:u w:val="single"/>
              </w:rPr>
            </w:r>
            <w:r w:rsidR="000947EA" w:rsidRPr="007F7FA7">
              <w:rPr>
                <w:noProof/>
                <w:webHidden/>
                <w:u w:val="single"/>
              </w:rPr>
              <w:fldChar w:fldCharType="separate"/>
            </w:r>
            <w:r w:rsidR="002F794E">
              <w:rPr>
                <w:noProof/>
                <w:webHidden/>
                <w:u w:val="single"/>
              </w:rPr>
              <w:t>13</w:t>
            </w:r>
            <w:r w:rsidR="000947EA" w:rsidRPr="007F7FA7">
              <w:rPr>
                <w:noProof/>
                <w:webHidden/>
                <w:u w:val="single"/>
              </w:rPr>
              <w:fldChar w:fldCharType="end"/>
            </w:r>
          </w:hyperlink>
        </w:p>
        <w:p w:rsidR="000947EA" w:rsidRPr="007F7FA7" w:rsidRDefault="00F24B46" w:rsidP="007F7FA7">
          <w:pPr>
            <w:pStyle w:val="TOC4"/>
            <w:ind w:left="567"/>
            <w:rPr>
              <w:rFonts w:asciiTheme="minorHAnsi" w:eastAsiaTheme="minorEastAsia" w:hAnsiTheme="minorHAnsi" w:cstheme="minorBidi"/>
              <w:noProof/>
              <w:szCs w:val="22"/>
              <w:u w:val="single"/>
              <w:lang w:eastAsia="da-DK"/>
            </w:rPr>
          </w:pPr>
          <w:hyperlink w:anchor="_Toc411525396" w:history="1">
            <w:r w:rsidR="000947EA" w:rsidRPr="007F7FA7">
              <w:rPr>
                <w:rStyle w:val="Hyperlink"/>
                <w:noProof/>
              </w:rPr>
              <w:t>6.1 Estimering af det frie cash flow i budgetperioden.</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_Toc411525396 \h </w:instrText>
            </w:r>
            <w:r w:rsidR="000947EA" w:rsidRPr="007F7FA7">
              <w:rPr>
                <w:noProof/>
                <w:webHidden/>
                <w:u w:val="single"/>
              </w:rPr>
            </w:r>
            <w:r w:rsidR="000947EA" w:rsidRPr="007F7FA7">
              <w:rPr>
                <w:noProof/>
                <w:webHidden/>
                <w:u w:val="single"/>
              </w:rPr>
              <w:fldChar w:fldCharType="separate"/>
            </w:r>
            <w:r w:rsidR="002F794E">
              <w:rPr>
                <w:noProof/>
                <w:webHidden/>
                <w:u w:val="single"/>
              </w:rPr>
              <w:t>14</w:t>
            </w:r>
            <w:r w:rsidR="000947EA" w:rsidRPr="007F7FA7">
              <w:rPr>
                <w:noProof/>
                <w:webHidden/>
                <w:u w:val="single"/>
              </w:rPr>
              <w:fldChar w:fldCharType="end"/>
            </w:r>
          </w:hyperlink>
        </w:p>
        <w:p w:rsidR="000947EA" w:rsidRPr="007F7FA7" w:rsidRDefault="00F24B46" w:rsidP="007F7FA7">
          <w:pPr>
            <w:pStyle w:val="TOC4"/>
            <w:ind w:left="567"/>
            <w:rPr>
              <w:rFonts w:asciiTheme="minorHAnsi" w:eastAsiaTheme="minorEastAsia" w:hAnsiTheme="minorHAnsi" w:cstheme="minorBidi"/>
              <w:noProof/>
              <w:szCs w:val="22"/>
              <w:u w:val="single"/>
              <w:lang w:eastAsia="da-DK"/>
            </w:rPr>
          </w:pPr>
          <w:hyperlink w:anchor="_Toc411525397" w:history="1">
            <w:r w:rsidR="000947EA" w:rsidRPr="007F7FA7">
              <w:rPr>
                <w:rStyle w:val="Hyperlink"/>
                <w:noProof/>
              </w:rPr>
              <w:t>6.2 Estimering af WACC og diskonteringsfaktoren.</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_Toc411525397 \h </w:instrText>
            </w:r>
            <w:r w:rsidR="000947EA" w:rsidRPr="007F7FA7">
              <w:rPr>
                <w:noProof/>
                <w:webHidden/>
                <w:u w:val="single"/>
              </w:rPr>
            </w:r>
            <w:r w:rsidR="000947EA" w:rsidRPr="007F7FA7">
              <w:rPr>
                <w:noProof/>
                <w:webHidden/>
                <w:u w:val="single"/>
              </w:rPr>
              <w:fldChar w:fldCharType="separate"/>
            </w:r>
            <w:r w:rsidR="002F794E">
              <w:rPr>
                <w:noProof/>
                <w:webHidden/>
                <w:u w:val="single"/>
              </w:rPr>
              <w:t>15</w:t>
            </w:r>
            <w:r w:rsidR="000947EA" w:rsidRPr="007F7FA7">
              <w:rPr>
                <w:noProof/>
                <w:webHidden/>
                <w:u w:val="single"/>
              </w:rPr>
              <w:fldChar w:fldCharType="end"/>
            </w:r>
          </w:hyperlink>
        </w:p>
        <w:p w:rsidR="000947EA" w:rsidRPr="007F7FA7" w:rsidRDefault="00F24B46" w:rsidP="007F7FA7">
          <w:pPr>
            <w:pStyle w:val="TOC4"/>
            <w:ind w:left="567"/>
            <w:rPr>
              <w:rFonts w:asciiTheme="minorHAnsi" w:eastAsiaTheme="minorEastAsia" w:hAnsiTheme="minorHAnsi" w:cstheme="minorBidi"/>
              <w:noProof/>
              <w:szCs w:val="22"/>
              <w:u w:val="single"/>
              <w:lang w:eastAsia="da-DK"/>
            </w:rPr>
          </w:pPr>
          <w:hyperlink w:anchor="_Toc411525398" w:history="1">
            <w:r w:rsidR="000947EA" w:rsidRPr="007F7FA7">
              <w:rPr>
                <w:rStyle w:val="Hyperlink"/>
                <w:noProof/>
              </w:rPr>
              <w:t>6.3 Estimering af nutidsværdi for budget- og terminalperioden.</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_Toc411525398 \h </w:instrText>
            </w:r>
            <w:r w:rsidR="000947EA" w:rsidRPr="007F7FA7">
              <w:rPr>
                <w:noProof/>
                <w:webHidden/>
                <w:u w:val="single"/>
              </w:rPr>
            </w:r>
            <w:r w:rsidR="000947EA" w:rsidRPr="007F7FA7">
              <w:rPr>
                <w:noProof/>
                <w:webHidden/>
                <w:u w:val="single"/>
              </w:rPr>
              <w:fldChar w:fldCharType="separate"/>
            </w:r>
            <w:r w:rsidR="002F794E">
              <w:rPr>
                <w:noProof/>
                <w:webHidden/>
                <w:u w:val="single"/>
              </w:rPr>
              <w:t>16</w:t>
            </w:r>
            <w:r w:rsidR="000947EA" w:rsidRPr="007F7FA7">
              <w:rPr>
                <w:noProof/>
                <w:webHidden/>
                <w:u w:val="single"/>
              </w:rPr>
              <w:fldChar w:fldCharType="end"/>
            </w:r>
          </w:hyperlink>
        </w:p>
        <w:p w:rsidR="000947EA" w:rsidRPr="007F7FA7" w:rsidRDefault="00F24B46" w:rsidP="007F7FA7">
          <w:pPr>
            <w:pStyle w:val="TOC4"/>
            <w:ind w:left="567"/>
            <w:rPr>
              <w:rFonts w:asciiTheme="minorHAnsi" w:eastAsiaTheme="minorEastAsia" w:hAnsiTheme="minorHAnsi" w:cstheme="minorBidi"/>
              <w:noProof/>
              <w:szCs w:val="22"/>
              <w:u w:val="single"/>
              <w:lang w:eastAsia="da-DK"/>
            </w:rPr>
          </w:pPr>
          <w:hyperlink w:anchor="_Toc411525399" w:history="1">
            <w:r w:rsidR="000947EA" w:rsidRPr="007F7FA7">
              <w:rPr>
                <w:rStyle w:val="Hyperlink"/>
                <w:noProof/>
              </w:rPr>
              <w:t>6.4 Beregning af Huscompagniets markedsværdi - delkonklusion</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_Toc411525399 \h </w:instrText>
            </w:r>
            <w:r w:rsidR="000947EA" w:rsidRPr="007F7FA7">
              <w:rPr>
                <w:noProof/>
                <w:webHidden/>
                <w:u w:val="single"/>
              </w:rPr>
            </w:r>
            <w:r w:rsidR="000947EA" w:rsidRPr="007F7FA7">
              <w:rPr>
                <w:noProof/>
                <w:webHidden/>
                <w:u w:val="single"/>
              </w:rPr>
              <w:fldChar w:fldCharType="separate"/>
            </w:r>
            <w:r w:rsidR="002F794E">
              <w:rPr>
                <w:noProof/>
                <w:webHidden/>
                <w:u w:val="single"/>
              </w:rPr>
              <w:t>18</w:t>
            </w:r>
            <w:r w:rsidR="000947EA" w:rsidRPr="007F7FA7">
              <w:rPr>
                <w:noProof/>
                <w:webHidden/>
                <w:u w:val="single"/>
              </w:rPr>
              <w:fldChar w:fldCharType="end"/>
            </w:r>
          </w:hyperlink>
        </w:p>
        <w:p w:rsidR="000947EA" w:rsidRPr="007F7FA7" w:rsidRDefault="00F24B46">
          <w:pPr>
            <w:pStyle w:val="TOC3"/>
            <w:rPr>
              <w:rFonts w:asciiTheme="minorHAnsi" w:eastAsiaTheme="minorEastAsia" w:hAnsiTheme="minorHAnsi" w:cstheme="minorBidi"/>
              <w:noProof/>
              <w:szCs w:val="22"/>
              <w:u w:val="single"/>
              <w:lang w:eastAsia="da-DK"/>
            </w:rPr>
          </w:pPr>
          <w:hyperlink w:anchor="_Toc411525400" w:history="1">
            <w:r w:rsidR="000947EA" w:rsidRPr="007F7FA7">
              <w:rPr>
                <w:rStyle w:val="Hyperlink"/>
                <w:noProof/>
              </w:rPr>
              <w:t>7. Hvor sikker er værdiansættelsen af Huscompagniet?</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_Toc411525400 \h </w:instrText>
            </w:r>
            <w:r w:rsidR="000947EA" w:rsidRPr="007F7FA7">
              <w:rPr>
                <w:noProof/>
                <w:webHidden/>
                <w:u w:val="single"/>
              </w:rPr>
            </w:r>
            <w:r w:rsidR="000947EA" w:rsidRPr="007F7FA7">
              <w:rPr>
                <w:noProof/>
                <w:webHidden/>
                <w:u w:val="single"/>
              </w:rPr>
              <w:fldChar w:fldCharType="separate"/>
            </w:r>
            <w:r w:rsidR="002F794E">
              <w:rPr>
                <w:noProof/>
                <w:webHidden/>
                <w:u w:val="single"/>
              </w:rPr>
              <w:t>18</w:t>
            </w:r>
            <w:r w:rsidR="000947EA" w:rsidRPr="007F7FA7">
              <w:rPr>
                <w:noProof/>
                <w:webHidden/>
                <w:u w:val="single"/>
              </w:rPr>
              <w:fldChar w:fldCharType="end"/>
            </w:r>
          </w:hyperlink>
        </w:p>
        <w:p w:rsidR="000947EA" w:rsidRPr="007F7FA7" w:rsidRDefault="00F24B46" w:rsidP="007F7FA7">
          <w:pPr>
            <w:pStyle w:val="TOC4"/>
            <w:ind w:left="567"/>
            <w:rPr>
              <w:rFonts w:asciiTheme="minorHAnsi" w:eastAsiaTheme="minorEastAsia" w:hAnsiTheme="minorHAnsi" w:cstheme="minorBidi"/>
              <w:noProof/>
              <w:szCs w:val="22"/>
              <w:u w:val="single"/>
              <w:lang w:eastAsia="da-DK"/>
            </w:rPr>
          </w:pPr>
          <w:hyperlink w:anchor="_Toc411525401" w:history="1">
            <w:r w:rsidR="000947EA" w:rsidRPr="007F7FA7">
              <w:rPr>
                <w:rStyle w:val="Hyperlink"/>
                <w:noProof/>
              </w:rPr>
              <w:t>7.1 Følsomhedsanalyse – Vækst i</w:t>
            </w:r>
            <w:r w:rsidR="00A06F26">
              <w:rPr>
                <w:rStyle w:val="Hyperlink"/>
                <w:noProof/>
              </w:rPr>
              <w:t xml:space="preserve"> terminalperioden og NOPAT</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_Toc411525401 \h </w:instrText>
            </w:r>
            <w:r w:rsidR="000947EA" w:rsidRPr="007F7FA7">
              <w:rPr>
                <w:noProof/>
                <w:webHidden/>
                <w:u w:val="single"/>
              </w:rPr>
            </w:r>
            <w:r w:rsidR="000947EA" w:rsidRPr="007F7FA7">
              <w:rPr>
                <w:noProof/>
                <w:webHidden/>
                <w:u w:val="single"/>
              </w:rPr>
              <w:fldChar w:fldCharType="separate"/>
            </w:r>
            <w:r w:rsidR="002F794E">
              <w:rPr>
                <w:noProof/>
                <w:webHidden/>
                <w:u w:val="single"/>
              </w:rPr>
              <w:t>19</w:t>
            </w:r>
            <w:r w:rsidR="000947EA" w:rsidRPr="007F7FA7">
              <w:rPr>
                <w:noProof/>
                <w:webHidden/>
                <w:u w:val="single"/>
              </w:rPr>
              <w:fldChar w:fldCharType="end"/>
            </w:r>
          </w:hyperlink>
        </w:p>
        <w:p w:rsidR="000947EA" w:rsidRPr="007F7FA7" w:rsidRDefault="00F24B46" w:rsidP="007F7FA7">
          <w:pPr>
            <w:pStyle w:val="TOC4"/>
            <w:ind w:left="567"/>
            <w:rPr>
              <w:rFonts w:asciiTheme="minorHAnsi" w:eastAsiaTheme="minorEastAsia" w:hAnsiTheme="minorHAnsi" w:cstheme="minorBidi"/>
              <w:noProof/>
              <w:szCs w:val="22"/>
              <w:u w:val="single"/>
              <w:lang w:eastAsia="da-DK"/>
            </w:rPr>
          </w:pPr>
          <w:hyperlink w:anchor="_Toc411525402" w:history="1">
            <w:r w:rsidR="000947EA" w:rsidRPr="007F7FA7">
              <w:rPr>
                <w:rStyle w:val="Hyperlink"/>
                <w:noProof/>
              </w:rPr>
              <w:t>7</w:t>
            </w:r>
            <w:r w:rsidR="00A06F26">
              <w:rPr>
                <w:rStyle w:val="Hyperlink"/>
                <w:noProof/>
              </w:rPr>
              <w:t>.2 Følsomhedsanalyse – Vækst i b</w:t>
            </w:r>
            <w:r w:rsidR="000947EA" w:rsidRPr="007F7FA7">
              <w:rPr>
                <w:rStyle w:val="Hyperlink"/>
                <w:noProof/>
              </w:rPr>
              <w:t>udgetperioden og NOPAT</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_Toc411525402 \h </w:instrText>
            </w:r>
            <w:r w:rsidR="000947EA" w:rsidRPr="007F7FA7">
              <w:rPr>
                <w:noProof/>
                <w:webHidden/>
                <w:u w:val="single"/>
              </w:rPr>
            </w:r>
            <w:r w:rsidR="000947EA" w:rsidRPr="007F7FA7">
              <w:rPr>
                <w:noProof/>
                <w:webHidden/>
                <w:u w:val="single"/>
              </w:rPr>
              <w:fldChar w:fldCharType="separate"/>
            </w:r>
            <w:r w:rsidR="002F794E">
              <w:rPr>
                <w:noProof/>
                <w:webHidden/>
                <w:u w:val="single"/>
              </w:rPr>
              <w:t>20</w:t>
            </w:r>
            <w:r w:rsidR="000947EA" w:rsidRPr="007F7FA7">
              <w:rPr>
                <w:noProof/>
                <w:webHidden/>
                <w:u w:val="single"/>
              </w:rPr>
              <w:fldChar w:fldCharType="end"/>
            </w:r>
          </w:hyperlink>
        </w:p>
        <w:p w:rsidR="000947EA" w:rsidRPr="007F7FA7" w:rsidRDefault="00F24B46">
          <w:pPr>
            <w:pStyle w:val="TOC3"/>
            <w:rPr>
              <w:rFonts w:asciiTheme="minorHAnsi" w:eastAsiaTheme="minorEastAsia" w:hAnsiTheme="minorHAnsi" w:cstheme="minorBidi"/>
              <w:noProof/>
              <w:szCs w:val="22"/>
              <w:u w:val="single"/>
              <w:lang w:eastAsia="da-DK"/>
            </w:rPr>
          </w:pPr>
          <w:hyperlink w:anchor="_Toc411525403" w:history="1">
            <w:r w:rsidR="000947EA" w:rsidRPr="007F7FA7">
              <w:rPr>
                <w:rStyle w:val="Hyperlink"/>
                <w:noProof/>
              </w:rPr>
              <w:t>8. Overvejelse den opkøbende virksomhed bør gøre før et eventuelt opkøb.</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_Toc411525403 \h </w:instrText>
            </w:r>
            <w:r w:rsidR="000947EA" w:rsidRPr="007F7FA7">
              <w:rPr>
                <w:noProof/>
                <w:webHidden/>
                <w:u w:val="single"/>
              </w:rPr>
            </w:r>
            <w:r w:rsidR="000947EA" w:rsidRPr="007F7FA7">
              <w:rPr>
                <w:noProof/>
                <w:webHidden/>
                <w:u w:val="single"/>
              </w:rPr>
              <w:fldChar w:fldCharType="separate"/>
            </w:r>
            <w:r w:rsidR="002F794E">
              <w:rPr>
                <w:noProof/>
                <w:webHidden/>
                <w:u w:val="single"/>
              </w:rPr>
              <w:t>21</w:t>
            </w:r>
            <w:r w:rsidR="000947EA" w:rsidRPr="007F7FA7">
              <w:rPr>
                <w:noProof/>
                <w:webHidden/>
                <w:u w:val="single"/>
              </w:rPr>
              <w:fldChar w:fldCharType="end"/>
            </w:r>
          </w:hyperlink>
        </w:p>
        <w:p w:rsidR="000947EA" w:rsidRPr="007F7FA7" w:rsidRDefault="00F24B46">
          <w:pPr>
            <w:pStyle w:val="TOC2"/>
            <w:rPr>
              <w:rFonts w:asciiTheme="minorHAnsi" w:eastAsiaTheme="minorEastAsia" w:hAnsiTheme="minorHAnsi" w:cstheme="minorBidi"/>
              <w:noProof/>
              <w:szCs w:val="22"/>
              <w:u w:val="single"/>
              <w:lang w:eastAsia="da-DK"/>
            </w:rPr>
          </w:pPr>
          <w:hyperlink w:anchor="_Toc411525404" w:history="1">
            <w:r w:rsidR="000947EA" w:rsidRPr="007F7FA7">
              <w:rPr>
                <w:rStyle w:val="Hyperlink"/>
                <w:noProof/>
              </w:rPr>
              <w:t>9. Konklusion</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_Toc411525404 \h </w:instrText>
            </w:r>
            <w:r w:rsidR="000947EA" w:rsidRPr="007F7FA7">
              <w:rPr>
                <w:noProof/>
                <w:webHidden/>
                <w:u w:val="single"/>
              </w:rPr>
            </w:r>
            <w:r w:rsidR="000947EA" w:rsidRPr="007F7FA7">
              <w:rPr>
                <w:noProof/>
                <w:webHidden/>
                <w:u w:val="single"/>
              </w:rPr>
              <w:fldChar w:fldCharType="separate"/>
            </w:r>
            <w:r w:rsidR="002F794E">
              <w:rPr>
                <w:noProof/>
                <w:webHidden/>
                <w:u w:val="single"/>
              </w:rPr>
              <w:t>22</w:t>
            </w:r>
            <w:r w:rsidR="000947EA" w:rsidRPr="007F7FA7">
              <w:rPr>
                <w:noProof/>
                <w:webHidden/>
                <w:u w:val="single"/>
              </w:rPr>
              <w:fldChar w:fldCharType="end"/>
            </w:r>
          </w:hyperlink>
        </w:p>
        <w:p w:rsidR="000947EA" w:rsidRPr="007F7FA7" w:rsidRDefault="00F24B46">
          <w:pPr>
            <w:pStyle w:val="TOC2"/>
            <w:rPr>
              <w:rFonts w:asciiTheme="minorHAnsi" w:eastAsiaTheme="minorEastAsia" w:hAnsiTheme="minorHAnsi" w:cstheme="minorBidi"/>
              <w:noProof/>
              <w:szCs w:val="22"/>
              <w:u w:val="single"/>
              <w:lang w:eastAsia="da-DK"/>
            </w:rPr>
          </w:pPr>
          <w:hyperlink w:anchor="_Toc411525405" w:history="1">
            <w:r w:rsidR="000947EA" w:rsidRPr="007F7FA7">
              <w:rPr>
                <w:rStyle w:val="Hyperlink"/>
                <w:noProof/>
              </w:rPr>
              <w:t>10. Metodekritik</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_Toc411525405 \h </w:instrText>
            </w:r>
            <w:r w:rsidR="000947EA" w:rsidRPr="007F7FA7">
              <w:rPr>
                <w:noProof/>
                <w:webHidden/>
                <w:u w:val="single"/>
              </w:rPr>
            </w:r>
            <w:r w:rsidR="000947EA" w:rsidRPr="007F7FA7">
              <w:rPr>
                <w:noProof/>
                <w:webHidden/>
                <w:u w:val="single"/>
              </w:rPr>
              <w:fldChar w:fldCharType="separate"/>
            </w:r>
            <w:r w:rsidR="002F794E">
              <w:rPr>
                <w:noProof/>
                <w:webHidden/>
                <w:u w:val="single"/>
              </w:rPr>
              <w:t>23</w:t>
            </w:r>
            <w:r w:rsidR="000947EA" w:rsidRPr="007F7FA7">
              <w:rPr>
                <w:noProof/>
                <w:webHidden/>
                <w:u w:val="single"/>
              </w:rPr>
              <w:fldChar w:fldCharType="end"/>
            </w:r>
          </w:hyperlink>
        </w:p>
        <w:p w:rsidR="000947EA" w:rsidRPr="007F7FA7" w:rsidRDefault="00F24B46">
          <w:pPr>
            <w:pStyle w:val="TOC2"/>
            <w:rPr>
              <w:rFonts w:asciiTheme="minorHAnsi" w:eastAsiaTheme="minorEastAsia" w:hAnsiTheme="minorHAnsi" w:cstheme="minorBidi"/>
              <w:noProof/>
              <w:szCs w:val="22"/>
              <w:u w:val="single"/>
              <w:lang w:eastAsia="da-DK"/>
            </w:rPr>
          </w:pPr>
          <w:hyperlink w:anchor="_Toc411525406" w:history="1">
            <w:r w:rsidR="000947EA" w:rsidRPr="007F7FA7">
              <w:rPr>
                <w:rStyle w:val="Hyperlink"/>
                <w:noProof/>
              </w:rPr>
              <w:t>11. Litteraturliste</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_Toc411525406 \h </w:instrText>
            </w:r>
            <w:r w:rsidR="000947EA" w:rsidRPr="007F7FA7">
              <w:rPr>
                <w:noProof/>
                <w:webHidden/>
                <w:u w:val="single"/>
              </w:rPr>
            </w:r>
            <w:r w:rsidR="000947EA" w:rsidRPr="007F7FA7">
              <w:rPr>
                <w:noProof/>
                <w:webHidden/>
                <w:u w:val="single"/>
              </w:rPr>
              <w:fldChar w:fldCharType="separate"/>
            </w:r>
            <w:r w:rsidR="002F794E">
              <w:rPr>
                <w:noProof/>
                <w:webHidden/>
                <w:u w:val="single"/>
              </w:rPr>
              <w:t>24</w:t>
            </w:r>
            <w:r w:rsidR="000947EA" w:rsidRPr="007F7FA7">
              <w:rPr>
                <w:noProof/>
                <w:webHidden/>
                <w:u w:val="single"/>
              </w:rPr>
              <w:fldChar w:fldCharType="end"/>
            </w:r>
          </w:hyperlink>
        </w:p>
        <w:p w:rsidR="000947EA" w:rsidRDefault="00F24B46">
          <w:pPr>
            <w:pStyle w:val="TOC2"/>
            <w:rPr>
              <w:rFonts w:asciiTheme="minorHAnsi" w:eastAsiaTheme="minorEastAsia" w:hAnsiTheme="minorHAnsi" w:cstheme="minorBidi"/>
              <w:noProof/>
              <w:szCs w:val="22"/>
              <w:lang w:eastAsia="da-DK"/>
            </w:rPr>
          </w:pPr>
          <w:hyperlink w:anchor="_Toc411525407" w:history="1">
            <w:r w:rsidR="000947EA" w:rsidRPr="007F7FA7">
              <w:rPr>
                <w:rStyle w:val="Hyperlink"/>
                <w:noProof/>
              </w:rPr>
              <w:t>12. Bilag</w:t>
            </w:r>
            <w:r w:rsidR="000947EA" w:rsidRPr="007F7FA7">
              <w:rPr>
                <w:noProof/>
                <w:webHidden/>
                <w:u w:val="single"/>
              </w:rPr>
              <w:tab/>
            </w:r>
            <w:r w:rsidR="000947EA" w:rsidRPr="007F7FA7">
              <w:rPr>
                <w:noProof/>
                <w:webHidden/>
                <w:u w:val="single"/>
              </w:rPr>
              <w:fldChar w:fldCharType="begin"/>
            </w:r>
            <w:r w:rsidR="000947EA" w:rsidRPr="007F7FA7">
              <w:rPr>
                <w:noProof/>
                <w:webHidden/>
                <w:u w:val="single"/>
              </w:rPr>
              <w:instrText xml:space="preserve"> PAGEREF _Toc411525407 \h </w:instrText>
            </w:r>
            <w:r w:rsidR="000947EA" w:rsidRPr="007F7FA7">
              <w:rPr>
                <w:noProof/>
                <w:webHidden/>
                <w:u w:val="single"/>
              </w:rPr>
            </w:r>
            <w:r w:rsidR="000947EA" w:rsidRPr="007F7FA7">
              <w:rPr>
                <w:noProof/>
                <w:webHidden/>
                <w:u w:val="single"/>
              </w:rPr>
              <w:fldChar w:fldCharType="separate"/>
            </w:r>
            <w:r w:rsidR="002F794E">
              <w:rPr>
                <w:noProof/>
                <w:webHidden/>
                <w:u w:val="single"/>
              </w:rPr>
              <w:t>25</w:t>
            </w:r>
            <w:r w:rsidR="000947EA" w:rsidRPr="007F7FA7">
              <w:rPr>
                <w:noProof/>
                <w:webHidden/>
                <w:u w:val="single"/>
              </w:rPr>
              <w:fldChar w:fldCharType="end"/>
            </w:r>
          </w:hyperlink>
        </w:p>
        <w:p w:rsidR="00CA5DF5" w:rsidRDefault="005D7867" w:rsidP="00CA5DF5">
          <w:pPr>
            <w:rPr>
              <w:b/>
              <w:bCs/>
              <w:noProof/>
            </w:rPr>
          </w:pPr>
          <w:r>
            <w:fldChar w:fldCharType="end"/>
          </w:r>
        </w:p>
      </w:sdtContent>
    </w:sdt>
    <w:p w:rsidR="00CD7262" w:rsidRPr="00CA5DF5" w:rsidRDefault="00CA5DF5" w:rsidP="00A06F26">
      <w:pPr>
        <w:tabs>
          <w:tab w:val="clear" w:pos="567"/>
          <w:tab w:val="clear" w:pos="8902"/>
          <w:tab w:val="left" w:pos="6120"/>
        </w:tabs>
        <w:sectPr w:rsidR="00CD7262" w:rsidRPr="00CA5DF5" w:rsidSect="009A6619">
          <w:headerReference w:type="default" r:id="rId10"/>
          <w:footerReference w:type="default" r:id="rId11"/>
          <w:footerReference w:type="first" r:id="rId12"/>
          <w:pgSz w:w="11906" w:h="16838" w:code="9"/>
          <w:pgMar w:top="1701" w:right="1418" w:bottom="1701" w:left="1418" w:header="794" w:footer="709" w:gutter="0"/>
          <w:pgNumType w:start="0"/>
          <w:cols w:space="708"/>
          <w:titlePg/>
          <w:docGrid w:linePitch="360"/>
        </w:sectPr>
      </w:pPr>
      <w:r>
        <w:t xml:space="preserve">. </w:t>
      </w:r>
    </w:p>
    <w:p w:rsidR="00972766" w:rsidRPr="005F4479" w:rsidRDefault="00CD7262" w:rsidP="005F4479">
      <w:pPr>
        <w:pStyle w:val="Heading2"/>
        <w:spacing w:line="360" w:lineRule="auto"/>
      </w:pPr>
      <w:bookmarkStart w:id="8" w:name="_Toc411437945"/>
      <w:bookmarkStart w:id="9" w:name="_Toc411439320"/>
      <w:bookmarkStart w:id="10" w:name="_Toc411525379"/>
      <w:r w:rsidRPr="005F4479">
        <w:rPr>
          <w:sz w:val="32"/>
        </w:rPr>
        <w:lastRenderedPageBreak/>
        <w:t xml:space="preserve">1. </w:t>
      </w:r>
      <w:r w:rsidR="00972766" w:rsidRPr="005F4479">
        <w:rPr>
          <w:sz w:val="32"/>
        </w:rPr>
        <w:t>Indledning:</w:t>
      </w:r>
      <w:bookmarkEnd w:id="7"/>
      <w:bookmarkEnd w:id="6"/>
      <w:bookmarkEnd w:id="5"/>
      <w:bookmarkEnd w:id="4"/>
      <w:bookmarkEnd w:id="3"/>
      <w:bookmarkEnd w:id="2"/>
      <w:bookmarkEnd w:id="1"/>
      <w:bookmarkEnd w:id="0"/>
      <w:bookmarkEnd w:id="8"/>
      <w:bookmarkEnd w:id="9"/>
      <w:bookmarkEnd w:id="10"/>
    </w:p>
    <w:p w:rsidR="004C458F" w:rsidRPr="005F4479" w:rsidRDefault="004C458F" w:rsidP="005F4479">
      <w:pPr>
        <w:spacing w:line="360" w:lineRule="auto"/>
      </w:pPr>
    </w:p>
    <w:p w:rsidR="008F29C5" w:rsidRPr="005F4479" w:rsidRDefault="008F29C5" w:rsidP="005F4479">
      <w:pPr>
        <w:spacing w:line="360" w:lineRule="auto"/>
        <w:rPr>
          <w:sz w:val="24"/>
        </w:rPr>
      </w:pPr>
      <w:r w:rsidRPr="005F4479">
        <w:rPr>
          <w:sz w:val="24"/>
        </w:rPr>
        <w:t xml:space="preserve">NCC AB, </w:t>
      </w:r>
      <w:r w:rsidR="00EE399A" w:rsidRPr="005F4479">
        <w:rPr>
          <w:sz w:val="24"/>
        </w:rPr>
        <w:t>den førende bygge- og ejendomsudviklingsvirksomheder i Nordeuropa</w:t>
      </w:r>
      <w:r w:rsidRPr="005F4479">
        <w:rPr>
          <w:sz w:val="24"/>
        </w:rPr>
        <w:t>, har formået at opretholde fornuftige vækstrate trods et fladt marked. Årsagen skal findes i NCC investeringsvillighed har holdt dem som markedsleder. Dette vidner om vigtigheden i, at opretholde den nuværende investeringsniveau for at understøtte fremtidig vækst samt markedslederrollen. Huscompagniet A/S er en stor spille</w:t>
      </w:r>
      <w:r w:rsidR="00504FB6" w:rsidRPr="005F4479">
        <w:rPr>
          <w:sz w:val="24"/>
        </w:rPr>
        <w:t>r på markedet for byggeri af enfamilie</w:t>
      </w:r>
      <w:r w:rsidRPr="005F4479">
        <w:rPr>
          <w:sz w:val="24"/>
        </w:rPr>
        <w:t>huse og er en af NCC samarbejdspartnere, men samtidig også en konkurrent. Huscompagniet kan derfor være en fornuftig del af en akkvisitiv ekspansion, men</w:t>
      </w:r>
      <w:r w:rsidR="00527DEC">
        <w:rPr>
          <w:sz w:val="24"/>
        </w:rPr>
        <w:t xml:space="preserve"> spørgsmålet er,</w:t>
      </w:r>
      <w:r w:rsidR="00AA3384">
        <w:rPr>
          <w:sz w:val="24"/>
        </w:rPr>
        <w:t xml:space="preserve"> hvor meget </w:t>
      </w:r>
      <w:r w:rsidRPr="005F4479">
        <w:rPr>
          <w:sz w:val="24"/>
        </w:rPr>
        <w:t>NCC</w:t>
      </w:r>
      <w:r w:rsidR="00AA3384">
        <w:rPr>
          <w:sz w:val="24"/>
        </w:rPr>
        <w:t xml:space="preserve"> skal</w:t>
      </w:r>
      <w:r w:rsidRPr="005F4479">
        <w:rPr>
          <w:sz w:val="24"/>
        </w:rPr>
        <w:t xml:space="preserve"> forvente at betale Huscompagniets nuværende ejere, FSN Capital m. fl.</w:t>
      </w:r>
      <w:r w:rsidR="00AA3384">
        <w:rPr>
          <w:sz w:val="24"/>
        </w:rPr>
        <w:t xml:space="preserve"> </w:t>
      </w:r>
      <w:r w:rsidRPr="005F4479">
        <w:rPr>
          <w:sz w:val="24"/>
        </w:rPr>
        <w:t>for at overdrage styring til NCC og hvilke overvejelser</w:t>
      </w:r>
      <w:r w:rsidR="00527DEC">
        <w:rPr>
          <w:sz w:val="24"/>
        </w:rPr>
        <w:t xml:space="preserve"> der</w:t>
      </w:r>
      <w:r w:rsidRPr="005F4479">
        <w:rPr>
          <w:sz w:val="24"/>
        </w:rPr>
        <w:t xml:space="preserve"> bør gøres før opkøbet gennemføres? </w:t>
      </w:r>
    </w:p>
    <w:p w:rsidR="008F29C5" w:rsidRPr="005F4479" w:rsidRDefault="008F29C5" w:rsidP="005F4479">
      <w:pPr>
        <w:spacing w:line="360" w:lineRule="auto"/>
        <w:rPr>
          <w:sz w:val="24"/>
        </w:rPr>
      </w:pPr>
    </w:p>
    <w:p w:rsidR="008F29C5" w:rsidRPr="005F4479" w:rsidRDefault="00CD7262" w:rsidP="005F4479">
      <w:pPr>
        <w:spacing w:line="360" w:lineRule="auto"/>
        <w:rPr>
          <w:sz w:val="24"/>
        </w:rPr>
      </w:pPr>
      <w:r w:rsidRPr="005F4479">
        <w:rPr>
          <w:sz w:val="24"/>
        </w:rPr>
        <w:t>Opgaven vil</w:t>
      </w:r>
      <w:r w:rsidR="008F29C5" w:rsidRPr="005F4479">
        <w:rPr>
          <w:sz w:val="24"/>
        </w:rPr>
        <w:t xml:space="preserve"> indledningsvis redegøre for den mest benyttede værdiansættelses praksis for herefter </w:t>
      </w:r>
      <w:r w:rsidR="00CF1246">
        <w:rPr>
          <w:sz w:val="24"/>
        </w:rPr>
        <w:t>at analysere NCC</w:t>
      </w:r>
      <w:r w:rsidR="008F29C5" w:rsidRPr="005F4479">
        <w:rPr>
          <w:sz w:val="24"/>
        </w:rPr>
        <w:t xml:space="preserve">s økonomiske situation og dermed deres mulighed for at understøtte et opkøb, </w:t>
      </w:r>
      <w:r w:rsidR="00661116" w:rsidRPr="005F4479">
        <w:rPr>
          <w:sz w:val="24"/>
        </w:rPr>
        <w:t>efterfulgt af</w:t>
      </w:r>
      <w:r w:rsidR="001A654C" w:rsidRPr="005F4479">
        <w:rPr>
          <w:sz w:val="24"/>
        </w:rPr>
        <w:t xml:space="preserve"> en analyse af</w:t>
      </w:r>
      <w:r w:rsidR="00661116" w:rsidRPr="005F4479">
        <w:rPr>
          <w:sz w:val="24"/>
        </w:rPr>
        <w:t xml:space="preserve"> </w:t>
      </w:r>
      <w:r w:rsidR="008F29C5" w:rsidRPr="005F4479">
        <w:rPr>
          <w:sz w:val="24"/>
        </w:rPr>
        <w:t>værdiansættelse af Huscompagnie</w:t>
      </w:r>
      <w:r w:rsidR="00661116" w:rsidRPr="005F4479">
        <w:rPr>
          <w:sz w:val="24"/>
        </w:rPr>
        <w:t>t</w:t>
      </w:r>
      <w:r w:rsidR="008F29C5" w:rsidRPr="005F4479">
        <w:rPr>
          <w:sz w:val="24"/>
        </w:rPr>
        <w:t>. En værdiansættelse er præget af usikkerhed, hvo</w:t>
      </w:r>
      <w:r w:rsidR="008F27CA" w:rsidRPr="005F4479">
        <w:rPr>
          <w:sz w:val="24"/>
        </w:rPr>
        <w:t xml:space="preserve">rfor diskussionen vil behandle denne del </w:t>
      </w:r>
      <w:r w:rsidR="008F29C5" w:rsidRPr="005F4479">
        <w:rPr>
          <w:sz w:val="24"/>
        </w:rPr>
        <w:t>af en værdiansættelse efterfulgt af en</w:t>
      </w:r>
      <w:r w:rsidR="007123C2">
        <w:rPr>
          <w:sz w:val="24"/>
        </w:rPr>
        <w:t xml:space="preserve"> diskussion af de</w:t>
      </w:r>
      <w:r w:rsidR="008F29C5" w:rsidRPr="005F4479">
        <w:rPr>
          <w:sz w:val="24"/>
        </w:rPr>
        <w:t xml:space="preserve"> overvejelser NCC/virksomheden bør gøre før et opkøb</w:t>
      </w:r>
      <w:r w:rsidR="00893C86" w:rsidRPr="005F4479">
        <w:rPr>
          <w:sz w:val="24"/>
        </w:rPr>
        <w:t>, hvori den økonomiske analyse inddrages</w:t>
      </w:r>
      <w:r w:rsidR="008F29C5" w:rsidRPr="005F4479">
        <w:rPr>
          <w:sz w:val="24"/>
        </w:rPr>
        <w:t xml:space="preserve">. </w:t>
      </w:r>
      <w:r w:rsidR="00235FCF" w:rsidRPr="005F4479">
        <w:rPr>
          <w:sz w:val="24"/>
        </w:rPr>
        <w:t xml:space="preserve">Opgavens formål er derved med andre ord, at </w:t>
      </w:r>
      <w:r w:rsidR="008F27CA" w:rsidRPr="005F4479">
        <w:rPr>
          <w:sz w:val="24"/>
        </w:rPr>
        <w:t xml:space="preserve">undersøge hvilke overvejelser en virksomhed (NCC) skal gøre før et eventuelt opkøb og belyse hvorledes værdiansættelse fungere i praksis (Huscompagniet). </w:t>
      </w:r>
    </w:p>
    <w:p w:rsidR="00BE5257" w:rsidRPr="005F4479" w:rsidRDefault="00BE5257" w:rsidP="005F4479">
      <w:pPr>
        <w:spacing w:line="360" w:lineRule="auto"/>
        <w:rPr>
          <w:sz w:val="24"/>
        </w:rPr>
      </w:pPr>
    </w:p>
    <w:p w:rsidR="008A3F47" w:rsidRPr="005F4479" w:rsidRDefault="00CD7262" w:rsidP="005F4479">
      <w:pPr>
        <w:pStyle w:val="Heading2"/>
        <w:spacing w:line="360" w:lineRule="auto"/>
        <w:rPr>
          <w:sz w:val="32"/>
        </w:rPr>
      </w:pPr>
      <w:bookmarkStart w:id="11" w:name="_Toc411418564"/>
      <w:bookmarkStart w:id="12" w:name="_Toc411419327"/>
      <w:bookmarkStart w:id="13" w:name="_Toc411420057"/>
      <w:bookmarkStart w:id="14" w:name="_Toc411421048"/>
      <w:bookmarkStart w:id="15" w:name="_Toc411429474"/>
      <w:bookmarkStart w:id="16" w:name="_Toc411429508"/>
      <w:bookmarkStart w:id="17" w:name="_Toc411429585"/>
      <w:bookmarkStart w:id="18" w:name="_Toc411435383"/>
      <w:bookmarkStart w:id="19" w:name="_Toc411437947"/>
      <w:bookmarkStart w:id="20" w:name="_Toc411439322"/>
      <w:bookmarkStart w:id="21" w:name="_Toc411525380"/>
      <w:r w:rsidRPr="005F4479">
        <w:rPr>
          <w:sz w:val="32"/>
        </w:rPr>
        <w:t xml:space="preserve">2. </w:t>
      </w:r>
      <w:r w:rsidR="008A3F47" w:rsidRPr="005F4479">
        <w:rPr>
          <w:sz w:val="32"/>
        </w:rPr>
        <w:t>Afgrænsning:</w:t>
      </w:r>
      <w:bookmarkEnd w:id="11"/>
      <w:bookmarkEnd w:id="12"/>
      <w:bookmarkEnd w:id="13"/>
      <w:bookmarkEnd w:id="14"/>
      <w:bookmarkEnd w:id="15"/>
      <w:bookmarkEnd w:id="16"/>
      <w:bookmarkEnd w:id="17"/>
      <w:bookmarkEnd w:id="18"/>
      <w:bookmarkEnd w:id="19"/>
      <w:bookmarkEnd w:id="20"/>
      <w:bookmarkEnd w:id="21"/>
    </w:p>
    <w:p w:rsidR="008A3F47" w:rsidRPr="005F4479" w:rsidRDefault="008A3F47" w:rsidP="005F4479">
      <w:pPr>
        <w:spacing w:line="360" w:lineRule="auto"/>
      </w:pPr>
    </w:p>
    <w:p w:rsidR="008A3F47" w:rsidRPr="005F4479" w:rsidRDefault="008A3F47" w:rsidP="005F4479">
      <w:pPr>
        <w:spacing w:line="360" w:lineRule="auto"/>
        <w:rPr>
          <w:sz w:val="24"/>
        </w:rPr>
      </w:pPr>
      <w:r w:rsidRPr="005F4479">
        <w:rPr>
          <w:sz w:val="24"/>
        </w:rPr>
        <w:t xml:space="preserve">Kernen i opgaven er værdiansættelse, men da dette er en bred praksis, vil opgaven hovedsageligt belyse brugen af den mest populære fremgangsmåde ”discounted cash flow” (DCF). DCF-modellen vil derfor bruges til at værdiansætte Huscompagniet A/S som et led i en eventuel akkvisitiv ekspansion fra den førende bygge- og ejendomsudviklingsvirksomheder i Nordeuropa, NCC AB. For at belyse NCC mulighed for et opkøb, vil analysen af den selvvalgte virksomhed (NCC) fungere som en økonomisk analyse af rentabiliteten, soliditeten og likviditeten. </w:t>
      </w:r>
    </w:p>
    <w:p w:rsidR="008A3F47" w:rsidRPr="005F4479" w:rsidRDefault="008A3F47" w:rsidP="005F4479">
      <w:pPr>
        <w:spacing w:line="360" w:lineRule="auto"/>
        <w:rPr>
          <w:sz w:val="24"/>
        </w:rPr>
      </w:pPr>
    </w:p>
    <w:p w:rsidR="008A3F47" w:rsidRPr="005F4479" w:rsidRDefault="008A3F47" w:rsidP="005F4479">
      <w:pPr>
        <w:spacing w:line="360" w:lineRule="auto"/>
        <w:rPr>
          <w:sz w:val="24"/>
        </w:rPr>
      </w:pPr>
      <w:r w:rsidRPr="005F4479">
        <w:rPr>
          <w:sz w:val="24"/>
        </w:rPr>
        <w:t>Rapporten vil tage udgangspunkt i årsrapporter i 2013, da regnskaber for 2014 endnu ikke er offentliggjorte.</w:t>
      </w:r>
    </w:p>
    <w:p w:rsidR="008A3F47" w:rsidRPr="005F4479" w:rsidRDefault="008A3F47" w:rsidP="005F4479">
      <w:pPr>
        <w:spacing w:line="360" w:lineRule="auto"/>
        <w:rPr>
          <w:sz w:val="24"/>
        </w:rPr>
      </w:pPr>
    </w:p>
    <w:p w:rsidR="00822412" w:rsidRPr="005F4479" w:rsidRDefault="00CD7262" w:rsidP="005F4479">
      <w:pPr>
        <w:pStyle w:val="Heading2"/>
        <w:spacing w:line="360" w:lineRule="auto"/>
        <w:rPr>
          <w:sz w:val="32"/>
        </w:rPr>
      </w:pPr>
      <w:bookmarkStart w:id="22" w:name="_Toc411435382"/>
      <w:bookmarkStart w:id="23" w:name="_Toc411437946"/>
      <w:bookmarkStart w:id="24" w:name="_Toc411439321"/>
      <w:bookmarkStart w:id="25" w:name="_Toc411525381"/>
      <w:r w:rsidRPr="005F4479">
        <w:rPr>
          <w:sz w:val="32"/>
        </w:rPr>
        <w:t xml:space="preserve">3. </w:t>
      </w:r>
      <w:r w:rsidR="00822412" w:rsidRPr="005F4479">
        <w:rPr>
          <w:sz w:val="32"/>
        </w:rPr>
        <w:t>Metodeafsnit</w:t>
      </w:r>
      <w:bookmarkEnd w:id="22"/>
      <w:bookmarkEnd w:id="23"/>
      <w:bookmarkEnd w:id="24"/>
      <w:bookmarkEnd w:id="25"/>
    </w:p>
    <w:p w:rsidR="007B1C8A" w:rsidRPr="005F4479" w:rsidRDefault="00DA43C2" w:rsidP="005F4479">
      <w:pPr>
        <w:spacing w:line="360" w:lineRule="auto"/>
        <w:rPr>
          <w:sz w:val="24"/>
        </w:rPr>
      </w:pPr>
      <w:r w:rsidRPr="005F4479">
        <w:rPr>
          <w:sz w:val="24"/>
        </w:rPr>
        <w:t>I f</w:t>
      </w:r>
      <w:r w:rsidR="002A07E4" w:rsidRPr="005F4479">
        <w:rPr>
          <w:sz w:val="24"/>
        </w:rPr>
        <w:t>orbindelse med området virksomhed</w:t>
      </w:r>
      <w:r w:rsidRPr="005F4479">
        <w:rPr>
          <w:sz w:val="24"/>
        </w:rPr>
        <w:t>s</w:t>
      </w:r>
      <w:r w:rsidR="00822412" w:rsidRPr="005F4479">
        <w:rPr>
          <w:sz w:val="24"/>
        </w:rPr>
        <w:t>opkøb vil fagene virksomhedsøkonomi og finansiering samarbejde om, at belyse NCC’s økonomiske situation med henblik på opkøb af Huscompagniet og derved en bestemmelse af H</w:t>
      </w:r>
      <w:r w:rsidR="007B47E3" w:rsidRPr="005F4479">
        <w:rPr>
          <w:sz w:val="24"/>
        </w:rPr>
        <w:t>uscompagniets markedsværdi. Husc</w:t>
      </w:r>
      <w:r w:rsidR="00822412" w:rsidRPr="005F4479">
        <w:rPr>
          <w:sz w:val="24"/>
        </w:rPr>
        <w:t>ompagniet værdiansættes vha. discounted cash flow (DCF), en værdiansættelsesmetode som har vundet bred popularitet blandt analytikere.</w:t>
      </w:r>
      <w:r w:rsidR="00F543DE" w:rsidRPr="005F4479">
        <w:rPr>
          <w:sz w:val="24"/>
        </w:rPr>
        <w:t xml:space="preserve"> Valget af denne metode er taget</w:t>
      </w:r>
      <w:r w:rsidR="00822412" w:rsidRPr="005F4479">
        <w:rPr>
          <w:sz w:val="24"/>
        </w:rPr>
        <w:t xml:space="preserve"> på baggrund af dens popularitet, men også gængse tilgang, som tillader analytikeren at give et bud på værdien af virksomheden uden at det gøres for abstrakt. Begge fag anskuer emnet virksomhedsopkøb fra et virksomhedssynspunkt. Virksomhedsøkonomien faglighed er repræsenteres i store dele af opgaven, hovedsageligt benyttes den dog i analyse af den økonomiske situation hos NCC, hvor kvantitative og kvalitative data</w:t>
      </w:r>
      <w:r w:rsidR="006F49DA">
        <w:rPr>
          <w:sz w:val="24"/>
        </w:rPr>
        <w:t xml:space="preserve"> fra årsrapporterne analyseres</w:t>
      </w:r>
      <w:r w:rsidR="00822412" w:rsidRPr="005F4479">
        <w:rPr>
          <w:sz w:val="24"/>
        </w:rPr>
        <w:t>. Finansieringens faglighed repræsenteres især igennem værdiansættelsen, men deltager også i diskussionen i form af overvejelser</w:t>
      </w:r>
      <w:r w:rsidR="00C40F6B">
        <w:rPr>
          <w:sz w:val="24"/>
        </w:rPr>
        <w:t xml:space="preserve"> for</w:t>
      </w:r>
      <w:r w:rsidR="00822412" w:rsidRPr="005F4479">
        <w:rPr>
          <w:sz w:val="24"/>
        </w:rPr>
        <w:t xml:space="preserve"> kapitalstruktur, finansieringsmuligheder og usikkerhedsfaktorer. </w:t>
      </w:r>
    </w:p>
    <w:p w:rsidR="00E728C6" w:rsidRPr="005F4479" w:rsidRDefault="00E728C6" w:rsidP="005F4479">
      <w:pPr>
        <w:spacing w:line="360" w:lineRule="auto"/>
        <w:rPr>
          <w:sz w:val="24"/>
        </w:rPr>
      </w:pPr>
    </w:p>
    <w:p w:rsidR="00C94069" w:rsidRPr="005F4479" w:rsidRDefault="00CD7262" w:rsidP="005F4479">
      <w:pPr>
        <w:pStyle w:val="Heading2"/>
        <w:spacing w:line="360" w:lineRule="auto"/>
        <w:rPr>
          <w:sz w:val="32"/>
        </w:rPr>
      </w:pPr>
      <w:bookmarkStart w:id="26" w:name="_Toc411525382"/>
      <w:r w:rsidRPr="005F4479">
        <w:rPr>
          <w:sz w:val="32"/>
        </w:rPr>
        <w:t>4. Værdiansættelsesmetode</w:t>
      </w:r>
      <w:bookmarkEnd w:id="26"/>
    </w:p>
    <w:p w:rsidR="00CD7262" w:rsidRPr="005F4479" w:rsidRDefault="00CD7262" w:rsidP="005F4479">
      <w:pPr>
        <w:spacing w:line="360" w:lineRule="auto"/>
      </w:pPr>
    </w:p>
    <w:p w:rsidR="00CD7262" w:rsidRDefault="00CD7262" w:rsidP="005F4479">
      <w:pPr>
        <w:pStyle w:val="Heading3"/>
        <w:spacing w:line="360" w:lineRule="auto"/>
      </w:pPr>
      <w:bookmarkStart w:id="27" w:name="_Toc411525383"/>
      <w:r w:rsidRPr="005F4479">
        <w:t>4.1 DCF- Modellen</w:t>
      </w:r>
      <w:bookmarkEnd w:id="27"/>
    </w:p>
    <w:p w:rsidR="00A164EF" w:rsidRPr="00A164EF" w:rsidRDefault="00A164EF" w:rsidP="00A164EF"/>
    <w:p w:rsidR="00C94069" w:rsidRPr="005F4479" w:rsidRDefault="0038389F" w:rsidP="005F4479">
      <w:pPr>
        <w:spacing w:line="360" w:lineRule="auto"/>
        <w:rPr>
          <w:sz w:val="24"/>
        </w:rPr>
      </w:pPr>
      <w:r w:rsidRPr="005F4479">
        <w:rPr>
          <w:sz w:val="24"/>
        </w:rPr>
        <w:t>Der findes en lang række metoder til at</w:t>
      </w:r>
      <w:r w:rsidR="00C94069" w:rsidRPr="005F4479">
        <w:rPr>
          <w:sz w:val="24"/>
        </w:rPr>
        <w:t xml:space="preserve"> værdiansætte en virksomhed eller et aktiv. Fælles for mange af dem er dog, at det gøres ud fra forventninger til</w:t>
      </w:r>
      <w:r w:rsidRPr="005F4479">
        <w:rPr>
          <w:sz w:val="24"/>
        </w:rPr>
        <w:t xml:space="preserve"> det</w:t>
      </w:r>
      <w:r w:rsidR="00C94069" w:rsidRPr="005F4479">
        <w:rPr>
          <w:sz w:val="24"/>
        </w:rPr>
        <w:t xml:space="preserve"> fremtidige cash </w:t>
      </w:r>
      <w:r w:rsidRPr="005F4479">
        <w:rPr>
          <w:sz w:val="24"/>
        </w:rPr>
        <w:t>flow</w:t>
      </w:r>
      <w:r w:rsidR="00756566" w:rsidRPr="005F4479">
        <w:rPr>
          <w:sz w:val="24"/>
        </w:rPr>
        <w:t xml:space="preserve"> og at der ikke findes et facit</w:t>
      </w:r>
      <w:r w:rsidRPr="005F4479">
        <w:rPr>
          <w:sz w:val="24"/>
        </w:rPr>
        <w:t>. Overo</w:t>
      </w:r>
      <w:r w:rsidR="003A6E46" w:rsidRPr="005F4479">
        <w:rPr>
          <w:sz w:val="24"/>
        </w:rPr>
        <w:t>r</w:t>
      </w:r>
      <w:r w:rsidRPr="005F4479">
        <w:rPr>
          <w:sz w:val="24"/>
        </w:rPr>
        <w:t>dnet set findes der tre</w:t>
      </w:r>
      <w:r w:rsidR="00C94069" w:rsidRPr="005F4479">
        <w:rPr>
          <w:sz w:val="24"/>
        </w:rPr>
        <w:t xml:space="preserve"> metoder til at værdia</w:t>
      </w:r>
      <w:r w:rsidR="00EC162B" w:rsidRPr="005F4479">
        <w:rPr>
          <w:sz w:val="24"/>
        </w:rPr>
        <w:t xml:space="preserve">nsætte en virksomhed herunder: </w:t>
      </w:r>
      <w:r w:rsidR="003A6E46" w:rsidRPr="005F4479">
        <w:rPr>
          <w:sz w:val="24"/>
        </w:rPr>
        <w:t>Værdiansættelse baseret på mult</w:t>
      </w:r>
      <w:r w:rsidR="00EC162B" w:rsidRPr="005F4479">
        <w:rPr>
          <w:sz w:val="24"/>
        </w:rPr>
        <w:t>ipler i sammenlignelige handler</w:t>
      </w:r>
      <w:r w:rsidR="001F6D19" w:rsidRPr="005F4479">
        <w:rPr>
          <w:sz w:val="24"/>
        </w:rPr>
        <w:t>,</w:t>
      </w:r>
      <w:r w:rsidR="00C94069" w:rsidRPr="005F4479">
        <w:rPr>
          <w:sz w:val="24"/>
        </w:rPr>
        <w:t xml:space="preserve"> som bygger på sammenligning af andre virksomheder eller aktiver af samme type, nutidsværdimetoden som værdiansætter ud fra tilbagediskontering af det frie cash</w:t>
      </w:r>
      <w:r w:rsidR="00756566" w:rsidRPr="005F4479">
        <w:rPr>
          <w:sz w:val="24"/>
        </w:rPr>
        <w:t xml:space="preserve"> </w:t>
      </w:r>
      <w:r w:rsidR="00C94069" w:rsidRPr="005F4479">
        <w:rPr>
          <w:sz w:val="24"/>
        </w:rPr>
        <w:t>flow og</w:t>
      </w:r>
      <w:r w:rsidRPr="005F4479">
        <w:rPr>
          <w:sz w:val="24"/>
        </w:rPr>
        <w:t xml:space="preserve"> sidst findes der</w:t>
      </w:r>
      <w:r w:rsidR="00C94069" w:rsidRPr="005F4479">
        <w:rPr>
          <w:sz w:val="24"/>
        </w:rPr>
        <w:t xml:space="preserve"> </w:t>
      </w:r>
      <w:r w:rsidR="001F6D19" w:rsidRPr="005F4479">
        <w:rPr>
          <w:sz w:val="24"/>
        </w:rPr>
        <w:t xml:space="preserve">likvidationsmetoden </w:t>
      </w:r>
      <w:r w:rsidR="00C94069" w:rsidRPr="005F4479">
        <w:rPr>
          <w:sz w:val="24"/>
        </w:rPr>
        <w:t xml:space="preserve">som er en metode der værdiansætter ud fra forudsætningen at virksomheden lukker og alle aktiver solgt og gældsforpligtelser </w:t>
      </w:r>
      <w:r w:rsidR="007B0B06" w:rsidRPr="005F4479">
        <w:rPr>
          <w:sz w:val="24"/>
        </w:rPr>
        <w:t xml:space="preserve">indfriet </w:t>
      </w:r>
      <w:r w:rsidR="00C94069" w:rsidRPr="005F4479">
        <w:rPr>
          <w:sz w:val="24"/>
        </w:rPr>
        <w:t>og vil derfor ofte blive værdiansat lavere, da den ikke forudsætter going-concern</w:t>
      </w:r>
      <w:r w:rsidR="00C94069" w:rsidRPr="005F4479">
        <w:rPr>
          <w:rStyle w:val="FootnoteReference"/>
          <w:sz w:val="24"/>
        </w:rPr>
        <w:footnoteReference w:id="1"/>
      </w:r>
      <w:r w:rsidR="00C94069" w:rsidRPr="005F4479">
        <w:rPr>
          <w:sz w:val="24"/>
        </w:rPr>
        <w:t xml:space="preserve">. Den mest anvendte blandt disse er dog nutidsværdimetoden, herunder findes der yderligere en række metoder, hvor DCF-modellen på selskabsniveau har </w:t>
      </w:r>
      <w:r w:rsidR="00C94069" w:rsidRPr="005F4479">
        <w:rPr>
          <w:sz w:val="24"/>
        </w:rPr>
        <w:lastRenderedPageBreak/>
        <w:t>vundet størst popularitet</w:t>
      </w:r>
      <w:r w:rsidR="00C94069" w:rsidRPr="005F4479">
        <w:rPr>
          <w:rStyle w:val="FootnoteReference"/>
          <w:sz w:val="24"/>
        </w:rPr>
        <w:footnoteReference w:id="2"/>
      </w:r>
      <w:r w:rsidR="00C94069" w:rsidRPr="005F4479">
        <w:rPr>
          <w:sz w:val="24"/>
        </w:rPr>
        <w:t xml:space="preserve"> og vil derfor være udgangspunktet. Der er skrevet utallige bøger om brugen af DCF-modellen og den kan derfor gøres meget kompleks. Udgangspunktet i denne opgave vil imidlertid være, at benytte modellen således at den giver et fornuftigt billede af værdiansættelsen uden at gøre det for abstrakt</w:t>
      </w:r>
      <w:r w:rsidR="003A6E46" w:rsidRPr="005F4479">
        <w:rPr>
          <w:sz w:val="24"/>
        </w:rPr>
        <w:t xml:space="preserve"> eller komplekst</w:t>
      </w:r>
      <w:r w:rsidR="00C94069" w:rsidRPr="005F4479">
        <w:rPr>
          <w:sz w:val="24"/>
        </w:rPr>
        <w:t xml:space="preserve">. </w:t>
      </w:r>
    </w:p>
    <w:p w:rsidR="00C94069" w:rsidRPr="005F4479" w:rsidRDefault="00C94069" w:rsidP="005F4479">
      <w:pPr>
        <w:spacing w:line="360" w:lineRule="auto"/>
        <w:rPr>
          <w:sz w:val="24"/>
        </w:rPr>
      </w:pPr>
      <w:r w:rsidRPr="005F4479">
        <w:rPr>
          <w:sz w:val="24"/>
        </w:rPr>
        <w:br/>
        <w:t>Discounted cash flow, eller tilbagediskontering af pengestrømme som det på danske hedder, er en tilbagediskontering af virksomhedens fremtidige frie cash flow (FCF). For at værdiansætte en virksomhed ud fra denne metode</w:t>
      </w:r>
      <w:r w:rsidR="004031A9" w:rsidRPr="005F4479">
        <w:rPr>
          <w:sz w:val="24"/>
        </w:rPr>
        <w:t>,</w:t>
      </w:r>
      <w:r w:rsidRPr="005F4479">
        <w:rPr>
          <w:sz w:val="24"/>
        </w:rPr>
        <w:t xml:space="preserve"> er det nødvendigt at benytte sig af en række estimerede faktorer, hvorfor en værdiansættelse ud fra DCF-modellen såvel som alle andre, kan give vidt forskellige resultater afhængig af de forudsætninger der vælges for </w:t>
      </w:r>
      <w:r w:rsidR="003A6E46" w:rsidRPr="005F4479">
        <w:rPr>
          <w:sz w:val="24"/>
        </w:rPr>
        <w:t>værdiansættelsen</w:t>
      </w:r>
      <w:r w:rsidRPr="005F4479">
        <w:rPr>
          <w:sz w:val="24"/>
        </w:rPr>
        <w:t>.</w:t>
      </w:r>
    </w:p>
    <w:p w:rsidR="000854F0" w:rsidRPr="005F4479" w:rsidRDefault="00C94069" w:rsidP="005F4479">
      <w:pPr>
        <w:spacing w:line="360" w:lineRule="auto"/>
        <w:rPr>
          <w:sz w:val="24"/>
        </w:rPr>
      </w:pPr>
      <w:r w:rsidRPr="005F4479">
        <w:rPr>
          <w:sz w:val="24"/>
        </w:rPr>
        <w:t>Først og fremmest skal der ske en reformulering af regnskabet således at det bliver muligt at finde nøgletallet NOPAT (net operating profit after taxes). Dette nøgletal viser pengestrømme fra primær drift før finansielle poster fratrukket skat</w:t>
      </w:r>
      <w:r w:rsidRPr="005F4479">
        <w:rPr>
          <w:rStyle w:val="FootnoteReference"/>
          <w:sz w:val="24"/>
        </w:rPr>
        <w:footnoteReference w:id="3"/>
      </w:r>
      <w:r w:rsidRPr="005F4479">
        <w:rPr>
          <w:sz w:val="24"/>
        </w:rPr>
        <w:t>, betalt skat i pengestrømsopgørelsen vil dog ikke været retvisende</w:t>
      </w:r>
      <w:r w:rsidR="003A6E46" w:rsidRPr="005F4479">
        <w:rPr>
          <w:sz w:val="24"/>
        </w:rPr>
        <w:t xml:space="preserve"> fremadrettet</w:t>
      </w:r>
      <w:r w:rsidRPr="005F4479">
        <w:rPr>
          <w:sz w:val="24"/>
        </w:rPr>
        <w:t xml:space="preserve"> og kan derfor ikke benyttes, derfor bruges i stedet den effektive skatteprocent, altså forholdet mellem skat af årets resultat og resultat før skat.</w:t>
      </w:r>
      <w:r w:rsidRPr="005F4479">
        <w:rPr>
          <w:rStyle w:val="FootnoteReference"/>
          <w:sz w:val="24"/>
        </w:rPr>
        <w:footnoteReference w:id="4"/>
      </w:r>
      <w:r w:rsidRPr="005F4479">
        <w:rPr>
          <w:sz w:val="24"/>
        </w:rPr>
        <w:t xml:space="preserve"> Denne multipliceres efterfølgende med pengestrømme fra primær drift før finansielle poster for derved at finde skatten i reelle tal, for derved at fratrække den</w:t>
      </w:r>
      <w:r w:rsidR="003C658F" w:rsidRPr="005F4479">
        <w:rPr>
          <w:sz w:val="24"/>
        </w:rPr>
        <w:t xml:space="preserve"> pengestrømme fra primær drift før finansielle poster</w:t>
      </w:r>
      <w:r w:rsidRPr="005F4479">
        <w:rPr>
          <w:sz w:val="24"/>
        </w:rPr>
        <w:t>. Herved er NOPAT bestemt.  Tilbage er der at fratrække netto investeringerne, altså likviditetspåvirkningen</w:t>
      </w:r>
      <w:r w:rsidR="003A6E46" w:rsidRPr="005F4479">
        <w:rPr>
          <w:sz w:val="24"/>
        </w:rPr>
        <w:t xml:space="preserve"> af investeringer</w:t>
      </w:r>
      <w:r w:rsidR="00A1430F" w:rsidRPr="005F4479">
        <w:rPr>
          <w:sz w:val="24"/>
        </w:rPr>
        <w:t xml:space="preserve"> i materiell</w:t>
      </w:r>
      <w:r w:rsidRPr="005F4479">
        <w:rPr>
          <w:sz w:val="24"/>
        </w:rPr>
        <w:t xml:space="preserve">e anlægsaktiver. Herved kan FCF altså bestemmes ud fra følgende: </w:t>
      </w:r>
    </w:p>
    <w:p w:rsidR="00C94069" w:rsidRPr="005F4479" w:rsidRDefault="00C94069" w:rsidP="005F4479">
      <w:pPr>
        <w:spacing w:line="360" w:lineRule="auto"/>
        <w:rPr>
          <w:sz w:val="24"/>
        </w:rPr>
      </w:pPr>
      <m:oMathPara>
        <m:oMath>
          <m:r>
            <m:rPr>
              <m:sty m:val="p"/>
            </m:rPr>
            <w:rPr>
              <w:rFonts w:ascii="Cambria Math" w:hAnsi="Cambria Math"/>
              <w:sz w:val="24"/>
            </w:rPr>
            <w:br/>
          </m:r>
        </m:oMath>
        <m:oMath>
          <m:r>
            <w:rPr>
              <w:rFonts w:ascii="Cambria Math" w:hAnsi="Cambria Math"/>
              <w:sz w:val="24"/>
            </w:rPr>
            <m:t xml:space="preserve">FCF=NOPAT-Netto investering </m:t>
          </m:r>
          <m:r>
            <w:rPr>
              <w:rStyle w:val="FootnoteReference"/>
              <w:rFonts w:ascii="Cambria Math" w:hAnsi="Cambria Math"/>
              <w:i/>
              <w:sz w:val="24"/>
            </w:rPr>
            <w:footnoteReference w:id="5"/>
          </m:r>
        </m:oMath>
      </m:oMathPara>
    </w:p>
    <w:p w:rsidR="00C94069" w:rsidRPr="005F4479" w:rsidRDefault="00C94069" w:rsidP="005F4479">
      <w:pPr>
        <w:spacing w:line="360" w:lineRule="auto"/>
        <w:rPr>
          <w:sz w:val="24"/>
        </w:rPr>
      </w:pPr>
    </w:p>
    <w:p w:rsidR="00C94069" w:rsidRPr="005F4479" w:rsidRDefault="00C94069" w:rsidP="005F4479">
      <w:pPr>
        <w:spacing w:line="360" w:lineRule="auto"/>
        <w:rPr>
          <w:sz w:val="24"/>
          <w:shd w:val="clear" w:color="auto" w:fill="FFFFFF"/>
        </w:rPr>
      </w:pPr>
      <w:r w:rsidRPr="005F4479">
        <w:rPr>
          <w:sz w:val="24"/>
        </w:rPr>
        <w:t xml:space="preserve">Det frie cash flow skal defineres som det cash flow som er til rådighed for virksomhedens afkastskrævende interessenter, herunder investorer og kreditinstitutter m.fl. Det er også årsagen </w:t>
      </w:r>
      <w:r w:rsidRPr="005F4479">
        <w:rPr>
          <w:sz w:val="24"/>
        </w:rPr>
        <w:lastRenderedPageBreak/>
        <w:t xml:space="preserve">til, at FCF tilbagediskonteres </w:t>
      </w:r>
      <w:r w:rsidR="00D11A5E" w:rsidRPr="005F4479">
        <w:rPr>
          <w:sz w:val="24"/>
          <w:shd w:val="clear" w:color="auto" w:fill="FFFFFF"/>
        </w:rPr>
        <w:t>vha.</w:t>
      </w:r>
      <w:r w:rsidRPr="005F4479">
        <w:rPr>
          <w:sz w:val="24"/>
          <w:shd w:val="clear" w:color="auto" w:fill="FFFFFF"/>
        </w:rPr>
        <w:t xml:space="preserve"> de vægtede gennemsnitlige </w:t>
      </w:r>
      <w:r w:rsidR="00D11A5E" w:rsidRPr="005F4479">
        <w:rPr>
          <w:sz w:val="24"/>
          <w:shd w:val="clear" w:color="auto" w:fill="FFFFFF"/>
        </w:rPr>
        <w:t xml:space="preserve">kapitalomkostninger </w:t>
      </w:r>
      <w:r w:rsidRPr="005F4479">
        <w:rPr>
          <w:sz w:val="24"/>
          <w:shd w:val="clear" w:color="auto" w:fill="FFFFFF"/>
        </w:rPr>
        <w:t>(WACC)</w:t>
      </w:r>
      <w:r w:rsidRPr="005F4479">
        <w:rPr>
          <w:rStyle w:val="FootnoteReference"/>
          <w:sz w:val="24"/>
          <w:shd w:val="clear" w:color="auto" w:fill="FFFFFF"/>
        </w:rPr>
        <w:footnoteReference w:id="6"/>
      </w:r>
      <w:r w:rsidRPr="005F4479">
        <w:rPr>
          <w:sz w:val="24"/>
          <w:shd w:val="clear" w:color="auto" w:fill="FFFFFF"/>
        </w:rPr>
        <w:t>, hvorved nutidsværdien findes so</w:t>
      </w:r>
      <w:r w:rsidR="00C272C6" w:rsidRPr="005F4479">
        <w:rPr>
          <w:sz w:val="24"/>
          <w:shd w:val="clear" w:color="auto" w:fill="FFFFFF"/>
        </w:rPr>
        <w:t>m er et udtryk for det FCF</w:t>
      </w:r>
      <w:r w:rsidRPr="005F4479">
        <w:rPr>
          <w:sz w:val="24"/>
          <w:shd w:val="clear" w:color="auto" w:fill="FFFFFF"/>
        </w:rPr>
        <w:t xml:space="preserve"> i år 0. WACC’en bestemmes vha. af følgende udtryk:</w:t>
      </w:r>
    </w:p>
    <w:p w:rsidR="00C94069" w:rsidRPr="005F4479" w:rsidRDefault="00C94069" w:rsidP="005F4479">
      <w:pPr>
        <w:spacing w:line="360" w:lineRule="auto"/>
        <w:rPr>
          <w:sz w:val="24"/>
          <w:shd w:val="clear" w:color="auto" w:fill="FFFFFF"/>
        </w:rPr>
      </w:pPr>
    </w:p>
    <w:p w:rsidR="00C94069" w:rsidRPr="005F4479" w:rsidRDefault="00C94069" w:rsidP="005F4479">
      <w:pPr>
        <w:tabs>
          <w:tab w:val="clear" w:pos="567"/>
          <w:tab w:val="clear" w:pos="8902"/>
          <w:tab w:val="left" w:pos="5322"/>
        </w:tabs>
        <w:spacing w:line="360" w:lineRule="auto"/>
        <w:rPr>
          <w:sz w:val="24"/>
          <w:shd w:val="clear" w:color="auto" w:fill="FFFFFF"/>
        </w:rPr>
      </w:pPr>
      <w:r w:rsidRPr="005F4479">
        <w:rPr>
          <w:noProof/>
          <w:sz w:val="24"/>
          <w:lang w:eastAsia="da-DK"/>
        </w:rPr>
        <mc:AlternateContent>
          <mc:Choice Requires="wps">
            <w:drawing>
              <wp:anchor distT="0" distB="0" distL="114300" distR="114300" simplePos="0" relativeHeight="251659264" behindDoc="0" locked="0" layoutInCell="1" allowOverlap="1" wp14:anchorId="217C99D8" wp14:editId="4426BC73">
                <wp:simplePos x="0" y="0"/>
                <wp:positionH relativeFrom="column">
                  <wp:posOffset>0</wp:posOffset>
                </wp:positionH>
                <wp:positionV relativeFrom="paragraph">
                  <wp:posOffset>-635</wp:posOffset>
                </wp:positionV>
                <wp:extent cx="3336363" cy="346954"/>
                <wp:effectExtent l="0" t="0" r="0" b="0"/>
                <wp:wrapNone/>
                <wp:docPr id="3" name="TextBox 2"/>
                <wp:cNvGraphicFramePr/>
                <a:graphic xmlns:a="http://schemas.openxmlformats.org/drawingml/2006/main">
                  <a:graphicData uri="http://schemas.microsoft.com/office/word/2010/wordprocessingShape">
                    <wps:wsp>
                      <wps:cNvSpPr txBox="1"/>
                      <wps:spPr>
                        <a:xfrm>
                          <a:off x="0" y="0"/>
                          <a:ext cx="3336363" cy="346954"/>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A95CB6" w:rsidRDefault="00A95CB6" w:rsidP="00C94069">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rPr>
                                  <m:t>WACC=</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NIBD</m:t>
                                    </m:r>
                                  </m:num>
                                  <m:den>
                                    <m:r>
                                      <w:rPr>
                                        <w:rFonts w:ascii="Cambria Math" w:hAnsi="Cambria Math" w:cstheme="minorBidi"/>
                                        <w:color w:val="000000" w:themeColor="text1"/>
                                        <w:sz w:val="22"/>
                                        <w:szCs w:val="22"/>
                                      </w:rPr>
                                      <m:t>(NIBD+E)</m:t>
                                    </m:r>
                                  </m:den>
                                </m:f>
                                <m:r>
                                  <w:rPr>
                                    <w:rFonts w:ascii="Cambria Math" w:hAnsi="Cambria Math" w:cstheme="minorBidi"/>
                                    <w:color w:val="000000" w:themeColor="text1"/>
                                    <w:sz w:val="22"/>
                                    <w:szCs w:val="22"/>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d</m:t>
                                    </m:r>
                                  </m:sub>
                                </m:sSub>
                                <m:r>
                                  <w:rPr>
                                    <w:rFonts w:ascii="Cambria Math" w:hAnsi="Cambria Math" w:cstheme="minorBidi"/>
                                    <w:color w:val="000000" w:themeColor="text1"/>
                                    <w:sz w:val="22"/>
                                    <w:szCs w:val="22"/>
                                  </w:rPr>
                                  <m:t>*</m:t>
                                </m:r>
                                <m:d>
                                  <m:dPr>
                                    <m:ctrlPr>
                                      <w:rPr>
                                        <w:rFonts w:ascii="Cambria Math" w:hAnsi="Cambria Math" w:cstheme="minorBidi"/>
                                        <w:i/>
                                        <w:iCs/>
                                        <w:color w:val="000000" w:themeColor="text1"/>
                                        <w:sz w:val="22"/>
                                        <w:szCs w:val="22"/>
                                      </w:rPr>
                                    </m:ctrlPr>
                                  </m:dPr>
                                  <m:e>
                                    <m:r>
                                      <w:rPr>
                                        <w:rFonts w:ascii="Cambria Math" w:hAnsi="Cambria Math" w:cstheme="minorBidi"/>
                                        <w:color w:val="000000" w:themeColor="text1"/>
                                        <w:sz w:val="22"/>
                                        <w:szCs w:val="22"/>
                                      </w:rPr>
                                      <m:t>1-t</m:t>
                                    </m:r>
                                  </m:e>
                                </m:d>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E</m:t>
                                    </m:r>
                                  </m:num>
                                  <m:den>
                                    <m:d>
                                      <m:dPr>
                                        <m:ctrlPr>
                                          <w:rPr>
                                            <w:rFonts w:ascii="Cambria Math" w:hAnsi="Cambria Math" w:cstheme="minorBidi"/>
                                            <w:i/>
                                            <w:iCs/>
                                            <w:color w:val="000000" w:themeColor="text1"/>
                                            <w:sz w:val="22"/>
                                            <w:szCs w:val="22"/>
                                          </w:rPr>
                                        </m:ctrlPr>
                                      </m:dPr>
                                      <m:e>
                                        <m:r>
                                          <w:rPr>
                                            <w:rFonts w:ascii="Cambria Math" w:hAnsi="Cambria Math" w:cstheme="minorBidi"/>
                                            <w:color w:val="000000" w:themeColor="text1"/>
                                            <w:sz w:val="22"/>
                                            <w:szCs w:val="22"/>
                                          </w:rPr>
                                          <m:t>NIBD+E</m:t>
                                        </m:r>
                                      </m:e>
                                    </m:d>
                                  </m:den>
                                </m:f>
                                <m:r>
                                  <w:rPr>
                                    <w:rFonts w:ascii="Cambria Math" w:hAnsi="Cambria Math" w:cstheme="minorBidi"/>
                                    <w:color w:val="000000" w:themeColor="text1"/>
                                    <w:sz w:val="22"/>
                                    <w:szCs w:val="22"/>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e</m:t>
                                    </m:r>
                                  </m:sub>
                                </m:sSub>
                              </m:oMath>
                            </m:oMathPara>
                          </w:p>
                        </w:txbxContent>
                      </wps:txbx>
                      <wps:bodyPr vertOverflow="clip" horzOverflow="clip" wrap="none" lIns="0" tIns="0" rIns="0" bIns="0" rtlCol="0" anchor="t">
                        <a:spAutoFit/>
                      </wps:bodyPr>
                    </wps:wsp>
                  </a:graphicData>
                </a:graphic>
              </wp:anchor>
            </w:drawing>
          </mc:Choice>
          <mc:Fallback>
            <w:pict>
              <v:shape w14:anchorId="217C99D8" id="TextBox 2" o:spid="_x0000_s1027" type="#_x0000_t202" style="position:absolute;left:0;text-align:left;margin-left:0;margin-top:-.05pt;width:262.7pt;height:27.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" filled="f" stroked="f">
                <v:textbox style="mso-fit-shape-to-text:t" inset="0,0,0,0">
                  <w:txbxContent>
                    <w:p w:rsidR="00A95CB6" w:rsidRDefault="00A95CB6" w:rsidP="00C94069">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rPr>
                            <m:t>WACC=</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NIBD</m:t>
                              </m:r>
                            </m:num>
                            <m:den>
                              <m:r>
                                <w:rPr>
                                  <w:rFonts w:ascii="Cambria Math" w:hAnsi="Cambria Math" w:cstheme="minorBidi"/>
                                  <w:color w:val="000000" w:themeColor="text1"/>
                                  <w:sz w:val="22"/>
                                  <w:szCs w:val="22"/>
                                </w:rPr>
                                <m:t>(NIBD+E)</m:t>
                              </m:r>
                            </m:den>
                          </m:f>
                          <m:r>
                            <w:rPr>
                              <w:rFonts w:ascii="Cambria Math" w:hAnsi="Cambria Math" w:cstheme="minorBidi"/>
                              <w:color w:val="000000" w:themeColor="text1"/>
                              <w:sz w:val="22"/>
                              <w:szCs w:val="22"/>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d</m:t>
                              </m:r>
                            </m:sub>
                          </m:sSub>
                          <m:r>
                            <w:rPr>
                              <w:rFonts w:ascii="Cambria Math" w:hAnsi="Cambria Math" w:cstheme="minorBidi"/>
                              <w:color w:val="000000" w:themeColor="text1"/>
                              <w:sz w:val="22"/>
                              <w:szCs w:val="22"/>
                            </w:rPr>
                            <m:t>*</m:t>
                          </m:r>
                          <m:d>
                            <m:dPr>
                              <m:ctrlPr>
                                <w:rPr>
                                  <w:rFonts w:ascii="Cambria Math" w:hAnsi="Cambria Math" w:cstheme="minorBidi"/>
                                  <w:i/>
                                  <w:iCs/>
                                  <w:color w:val="000000" w:themeColor="text1"/>
                                  <w:sz w:val="22"/>
                                  <w:szCs w:val="22"/>
                                </w:rPr>
                              </m:ctrlPr>
                            </m:dPr>
                            <m:e>
                              <m:r>
                                <w:rPr>
                                  <w:rFonts w:ascii="Cambria Math" w:hAnsi="Cambria Math" w:cstheme="minorBidi"/>
                                  <w:color w:val="000000" w:themeColor="text1"/>
                                  <w:sz w:val="22"/>
                                  <w:szCs w:val="22"/>
                                </w:rPr>
                                <m:t>1-t</m:t>
                              </m:r>
                            </m:e>
                          </m:d>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E</m:t>
                              </m:r>
                            </m:num>
                            <m:den>
                              <m:d>
                                <m:dPr>
                                  <m:ctrlPr>
                                    <w:rPr>
                                      <w:rFonts w:ascii="Cambria Math" w:hAnsi="Cambria Math" w:cstheme="minorBidi"/>
                                      <w:i/>
                                      <w:iCs/>
                                      <w:color w:val="000000" w:themeColor="text1"/>
                                      <w:sz w:val="22"/>
                                      <w:szCs w:val="22"/>
                                    </w:rPr>
                                  </m:ctrlPr>
                                </m:dPr>
                                <m:e>
                                  <m:r>
                                    <w:rPr>
                                      <w:rFonts w:ascii="Cambria Math" w:hAnsi="Cambria Math" w:cstheme="minorBidi"/>
                                      <w:color w:val="000000" w:themeColor="text1"/>
                                      <w:sz w:val="22"/>
                                      <w:szCs w:val="22"/>
                                    </w:rPr>
                                    <m:t>NIBD+E</m:t>
                                  </m:r>
                                </m:e>
                              </m:d>
                            </m:den>
                          </m:f>
                          <m:r>
                            <w:rPr>
                              <w:rFonts w:ascii="Cambria Math" w:hAnsi="Cambria Math" w:cstheme="minorBidi"/>
                              <w:color w:val="000000" w:themeColor="text1"/>
                              <w:sz w:val="22"/>
                              <w:szCs w:val="22"/>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e</m:t>
                              </m:r>
                            </m:sub>
                          </m:sSub>
                        </m:oMath>
                      </m:oMathPara>
                    </w:p>
                  </w:txbxContent>
                </v:textbox>
              </v:shape>
            </w:pict>
          </mc:Fallback>
        </mc:AlternateContent>
      </w:r>
      <w:r w:rsidRPr="005F4479">
        <w:rPr>
          <w:sz w:val="24"/>
          <w:shd w:val="clear" w:color="auto" w:fill="FFFFFF"/>
        </w:rPr>
        <w:tab/>
      </w:r>
      <w:r w:rsidRPr="005F4479">
        <w:rPr>
          <w:rStyle w:val="FootnoteReference"/>
          <w:sz w:val="24"/>
          <w:shd w:val="clear" w:color="auto" w:fill="FFFFFF"/>
        </w:rPr>
        <w:footnoteReference w:id="7"/>
      </w:r>
    </w:p>
    <w:p w:rsidR="00C94069" w:rsidRPr="005F4479" w:rsidRDefault="00C94069" w:rsidP="005F4479">
      <w:pPr>
        <w:spacing w:line="360" w:lineRule="auto"/>
        <w:rPr>
          <w:sz w:val="24"/>
          <w:shd w:val="clear" w:color="auto" w:fill="FFFFFF"/>
        </w:rPr>
      </w:pPr>
    </w:p>
    <w:p w:rsidR="00C94069" w:rsidRPr="005F4479" w:rsidRDefault="00C94069" w:rsidP="005F4479">
      <w:pPr>
        <w:spacing w:line="360" w:lineRule="auto"/>
        <w:rPr>
          <w:sz w:val="24"/>
          <w:shd w:val="clear" w:color="auto" w:fill="FFFFFF"/>
        </w:rPr>
      </w:pPr>
      <w:r w:rsidRPr="005F4479">
        <w:rPr>
          <w:sz w:val="24"/>
          <w:shd w:val="clear" w:color="auto" w:fill="FFFFFF"/>
        </w:rPr>
        <w:t>NIBD = Rentebærende gæld (kassekredit, bankgæld mfl.)</w:t>
      </w:r>
    </w:p>
    <w:p w:rsidR="00C94069" w:rsidRPr="005F4479" w:rsidRDefault="00C94069" w:rsidP="005F4479">
      <w:pPr>
        <w:spacing w:line="360" w:lineRule="auto"/>
        <w:rPr>
          <w:sz w:val="24"/>
          <w:shd w:val="clear" w:color="auto" w:fill="FFFFFF"/>
        </w:rPr>
      </w:pPr>
      <w:r w:rsidRPr="005F4479">
        <w:rPr>
          <w:sz w:val="24"/>
          <w:shd w:val="clear" w:color="auto" w:fill="FFFFFF"/>
        </w:rPr>
        <w:t>E = Egenkapital</w:t>
      </w:r>
    </w:p>
    <w:p w:rsidR="00C94069" w:rsidRPr="005F4479" w:rsidRDefault="00C94069" w:rsidP="005F4479">
      <w:pPr>
        <w:spacing w:line="360" w:lineRule="auto"/>
        <w:rPr>
          <w:sz w:val="24"/>
          <w:shd w:val="clear" w:color="auto" w:fill="FFFFFF"/>
        </w:rPr>
      </w:pPr>
      <w:r w:rsidRPr="005F4479">
        <w:rPr>
          <w:sz w:val="24"/>
          <w:shd w:val="clear" w:color="auto" w:fill="FFFFFF"/>
        </w:rPr>
        <w:t>r</w:t>
      </w:r>
      <w:r w:rsidRPr="005F4479">
        <w:rPr>
          <w:sz w:val="24"/>
          <w:shd w:val="clear" w:color="auto" w:fill="FFFFFF"/>
          <w:vertAlign w:val="subscript"/>
        </w:rPr>
        <w:t>d</w:t>
      </w:r>
      <w:r w:rsidR="00363E8A">
        <w:rPr>
          <w:sz w:val="24"/>
          <w:shd w:val="clear" w:color="auto" w:fill="FFFFFF"/>
        </w:rPr>
        <w:t xml:space="preserve">= Fremmedkapitalens afkasts krav </w:t>
      </w:r>
    </w:p>
    <w:p w:rsidR="00C94069" w:rsidRPr="005F4479" w:rsidRDefault="00C94069" w:rsidP="005F4479">
      <w:pPr>
        <w:spacing w:line="360" w:lineRule="auto"/>
        <w:rPr>
          <w:sz w:val="24"/>
          <w:shd w:val="clear" w:color="auto" w:fill="FFFFFF"/>
        </w:rPr>
      </w:pPr>
      <w:r w:rsidRPr="005F4479">
        <w:rPr>
          <w:sz w:val="24"/>
          <w:shd w:val="clear" w:color="auto" w:fill="FFFFFF"/>
        </w:rPr>
        <w:t>r</w:t>
      </w:r>
      <w:r w:rsidRPr="005F4479">
        <w:rPr>
          <w:sz w:val="24"/>
          <w:shd w:val="clear" w:color="auto" w:fill="FFFFFF"/>
          <w:vertAlign w:val="subscript"/>
        </w:rPr>
        <w:t>e</w:t>
      </w:r>
      <w:r w:rsidRPr="005F4479">
        <w:rPr>
          <w:sz w:val="24"/>
          <w:shd w:val="clear" w:color="auto" w:fill="FFFFFF"/>
        </w:rPr>
        <w:t xml:space="preserve"> = investors afkast </w:t>
      </w:r>
    </w:p>
    <w:p w:rsidR="00C94069" w:rsidRPr="005F4479" w:rsidRDefault="00C94069" w:rsidP="005F4479">
      <w:pPr>
        <w:spacing w:line="360" w:lineRule="auto"/>
        <w:rPr>
          <w:sz w:val="24"/>
          <w:shd w:val="clear" w:color="auto" w:fill="FFFFFF"/>
        </w:rPr>
      </w:pPr>
      <w:r w:rsidRPr="005F4479">
        <w:rPr>
          <w:sz w:val="24"/>
          <w:shd w:val="clear" w:color="auto" w:fill="FFFFFF"/>
        </w:rPr>
        <w:t>t = Selskabsskat</w:t>
      </w:r>
    </w:p>
    <w:p w:rsidR="00B65007" w:rsidRPr="005F4479" w:rsidRDefault="00B65007" w:rsidP="005F4479">
      <w:pPr>
        <w:spacing w:line="360" w:lineRule="auto"/>
        <w:rPr>
          <w:sz w:val="24"/>
          <w:shd w:val="clear" w:color="auto" w:fill="FFFFFF"/>
        </w:rPr>
      </w:pPr>
    </w:p>
    <w:p w:rsidR="00C94069" w:rsidRPr="005F4479" w:rsidRDefault="006C5036" w:rsidP="005F4479">
      <w:pPr>
        <w:spacing w:line="360" w:lineRule="auto"/>
        <w:rPr>
          <w:sz w:val="24"/>
          <w:shd w:val="clear" w:color="auto" w:fill="FFFFFF"/>
        </w:rPr>
      </w:pPr>
      <w:r w:rsidRPr="005F4479">
        <w:rPr>
          <w:sz w:val="24"/>
          <w:shd w:val="clear" w:color="auto" w:fill="FFFFFF"/>
        </w:rPr>
        <w:t>Investors afkast</w:t>
      </w:r>
      <w:r w:rsidR="00C94069" w:rsidRPr="005F4479">
        <w:rPr>
          <w:sz w:val="24"/>
          <w:shd w:val="clear" w:color="auto" w:fill="FFFFFF"/>
        </w:rPr>
        <w:t xml:space="preserve">, også kaldet </w:t>
      </w:r>
      <w:r w:rsidR="00C272C6" w:rsidRPr="005F4479">
        <w:rPr>
          <w:sz w:val="24"/>
          <w:shd w:val="clear" w:color="auto" w:fill="FFFFFF"/>
        </w:rPr>
        <w:t>”</w:t>
      </w:r>
      <w:r w:rsidR="00C94069" w:rsidRPr="005F4479">
        <w:rPr>
          <w:sz w:val="24"/>
          <w:shd w:val="clear" w:color="auto" w:fill="FFFFFF"/>
        </w:rPr>
        <w:t>cost of equity</w:t>
      </w:r>
      <w:r w:rsidR="00C272C6" w:rsidRPr="005F4479">
        <w:rPr>
          <w:sz w:val="24"/>
          <w:shd w:val="clear" w:color="auto" w:fill="FFFFFF"/>
        </w:rPr>
        <w:t>”</w:t>
      </w:r>
      <w:r w:rsidR="00C94069" w:rsidRPr="005F4479">
        <w:rPr>
          <w:sz w:val="24"/>
          <w:shd w:val="clear" w:color="auto" w:fill="FFFFFF"/>
        </w:rPr>
        <w:t>, er et udtryk for det afkast den risikoaverse investor kræver i kompensation for øget risiko. Det forventede afkast fastsættes derfor ud fra et risikofrit afkast + et risikotillæg</w:t>
      </w:r>
      <w:r w:rsidR="00C94069" w:rsidRPr="005F4479">
        <w:rPr>
          <w:rStyle w:val="FootnoteReference"/>
          <w:sz w:val="24"/>
          <w:shd w:val="clear" w:color="auto" w:fill="FFFFFF"/>
        </w:rPr>
        <w:footnoteReference w:id="8"/>
      </w:r>
      <w:r w:rsidR="00C94069" w:rsidRPr="005F4479">
        <w:rPr>
          <w:sz w:val="24"/>
          <w:shd w:val="clear" w:color="auto" w:fill="FFFFFF"/>
        </w:rPr>
        <w:t>, der afspejler den systematiske risiko*riskopræmie.</w:t>
      </w:r>
      <w:r w:rsidR="00C94069" w:rsidRPr="005F4479">
        <w:rPr>
          <w:rStyle w:val="FootnoteReference"/>
          <w:sz w:val="24"/>
          <w:shd w:val="clear" w:color="auto" w:fill="FFFFFF"/>
        </w:rPr>
        <w:t xml:space="preserve"> </w:t>
      </w:r>
      <w:r w:rsidR="00C94069" w:rsidRPr="005F4479">
        <w:rPr>
          <w:rStyle w:val="FootnoteReference"/>
          <w:sz w:val="24"/>
          <w:shd w:val="clear" w:color="auto" w:fill="FFFFFF"/>
        </w:rPr>
        <w:footnoteReference w:id="9"/>
      </w:r>
    </w:p>
    <w:p w:rsidR="00C94069" w:rsidRPr="005F4479" w:rsidRDefault="001F6D19" w:rsidP="005F4479">
      <w:pPr>
        <w:spacing w:line="360" w:lineRule="auto"/>
        <w:rPr>
          <w:sz w:val="24"/>
          <w:shd w:val="clear" w:color="auto" w:fill="FFFFFF"/>
        </w:rPr>
      </w:pPr>
      <w:r w:rsidRPr="005F4479">
        <w:rPr>
          <w:sz w:val="24"/>
          <w:shd w:val="clear" w:color="auto" w:fill="FFFFFF"/>
        </w:rPr>
        <w:t>Fremmedkapitalens</w:t>
      </w:r>
      <w:r w:rsidR="003A6E46" w:rsidRPr="005F4479">
        <w:rPr>
          <w:sz w:val="24"/>
          <w:shd w:val="clear" w:color="auto" w:fill="FFFFFF"/>
        </w:rPr>
        <w:t xml:space="preserve"> afkastkrav</w:t>
      </w:r>
      <w:r w:rsidRPr="005F4479">
        <w:rPr>
          <w:sz w:val="24"/>
          <w:shd w:val="clear" w:color="auto" w:fill="FFFFFF"/>
        </w:rPr>
        <w:t xml:space="preserve"> </w:t>
      </w:r>
      <w:r w:rsidR="00C94069" w:rsidRPr="005F4479">
        <w:rPr>
          <w:sz w:val="24"/>
          <w:shd w:val="clear" w:color="auto" w:fill="FFFFFF"/>
        </w:rPr>
        <w:t xml:space="preserve">fastsættes ud fra forholdet mellem renteomkostninger forbundet med gæld og den rentebærende gæld. </w:t>
      </w:r>
    </w:p>
    <w:p w:rsidR="00C94069" w:rsidRPr="005F4479" w:rsidRDefault="00C94069" w:rsidP="005F4479">
      <w:pPr>
        <w:spacing w:line="360" w:lineRule="auto"/>
        <w:rPr>
          <w:sz w:val="24"/>
          <w:shd w:val="clear" w:color="auto" w:fill="FFFFFF"/>
        </w:rPr>
      </w:pPr>
      <w:r w:rsidRPr="005F4479">
        <w:rPr>
          <w:sz w:val="24"/>
          <w:shd w:val="clear" w:color="auto" w:fill="FFFFFF"/>
        </w:rPr>
        <w:t>I det omfang, at resultat af primær drift overgår låneomkostninger, skal der</w:t>
      </w:r>
      <w:r w:rsidR="001F6D19" w:rsidRPr="005F4479">
        <w:rPr>
          <w:sz w:val="24"/>
          <w:shd w:val="clear" w:color="auto" w:fill="FFFFFF"/>
        </w:rPr>
        <w:t xml:space="preserve"> medregnes et såkaldt tax-shield (</w:t>
      </w:r>
      <w:r w:rsidR="003A6E46" w:rsidRPr="005F4479">
        <w:rPr>
          <w:sz w:val="24"/>
          <w:shd w:val="clear" w:color="auto" w:fill="FFFFFF"/>
        </w:rPr>
        <w:t>tax-shield er udtryk for den skattee</w:t>
      </w:r>
      <w:r w:rsidR="001F6D19" w:rsidRPr="005F4479">
        <w:rPr>
          <w:sz w:val="24"/>
          <w:shd w:val="clear" w:color="auto" w:fill="FFFFFF"/>
        </w:rPr>
        <w:t>f</w:t>
      </w:r>
      <w:r w:rsidR="003A6E46" w:rsidRPr="005F4479">
        <w:rPr>
          <w:sz w:val="24"/>
          <w:shd w:val="clear" w:color="auto" w:fill="FFFFFF"/>
        </w:rPr>
        <w:t>fekt renten har for virksomhedens cashflow, idet renten kan fratrækkes i skattebetalingerne. Da udgangspunktet er NOPAT er denne fo</w:t>
      </w:r>
      <w:r w:rsidR="001F6D19" w:rsidRPr="005F4479">
        <w:rPr>
          <w:sz w:val="24"/>
          <w:shd w:val="clear" w:color="auto" w:fill="FFFFFF"/>
        </w:rPr>
        <w:t>rdel ikke medregnet i cash flow</w:t>
      </w:r>
      <w:r w:rsidR="008F27CA" w:rsidRPr="005F4479">
        <w:rPr>
          <w:sz w:val="24"/>
          <w:shd w:val="clear" w:color="auto" w:fill="FFFFFF"/>
        </w:rPr>
        <w:t>)</w:t>
      </w:r>
      <w:r w:rsidRPr="005F4479">
        <w:rPr>
          <w:sz w:val="24"/>
          <w:shd w:val="clear" w:color="auto" w:fill="FFFFFF"/>
        </w:rPr>
        <w:t>.</w:t>
      </w:r>
      <w:r w:rsidRPr="005F4479">
        <w:rPr>
          <w:rStyle w:val="FootnoteReference"/>
          <w:sz w:val="24"/>
          <w:shd w:val="clear" w:color="auto" w:fill="FFFFFF"/>
        </w:rPr>
        <w:footnoteReference w:id="10"/>
      </w:r>
    </w:p>
    <w:p w:rsidR="00B65007" w:rsidRPr="005F4479" w:rsidRDefault="00C94069" w:rsidP="005F4479">
      <w:pPr>
        <w:spacing w:line="360" w:lineRule="auto"/>
        <w:rPr>
          <w:sz w:val="24"/>
          <w:shd w:val="clear" w:color="auto" w:fill="FFFFFF"/>
        </w:rPr>
      </w:pPr>
      <w:r w:rsidRPr="005F4479">
        <w:rPr>
          <w:sz w:val="24"/>
          <w:shd w:val="clear" w:color="auto" w:fill="FFFFFF"/>
        </w:rPr>
        <w:t xml:space="preserve">For at finde diskonteringsfaktoren benyttes formlen for rentes rente: </w:t>
      </w:r>
      <m:oMath>
        <m:r>
          <w:rPr>
            <w:rFonts w:ascii="Cambria Math" w:hAnsi="Cambria Math"/>
            <w:sz w:val="24"/>
            <w:shd w:val="clear" w:color="auto" w:fill="FFFFFF"/>
          </w:rPr>
          <m:t>(1+r</m:t>
        </m:r>
        <m:sSup>
          <m:sSupPr>
            <m:ctrlPr>
              <w:rPr>
                <w:rFonts w:ascii="Cambria Math" w:hAnsi="Cambria Math"/>
                <w:i/>
                <w:sz w:val="24"/>
                <w:shd w:val="clear" w:color="auto" w:fill="FFFFFF"/>
              </w:rPr>
            </m:ctrlPr>
          </m:sSupPr>
          <m:e>
            <m:r>
              <w:rPr>
                <w:rFonts w:ascii="Cambria Math" w:hAnsi="Cambria Math"/>
                <w:sz w:val="24"/>
                <w:shd w:val="clear" w:color="auto" w:fill="FFFFFF"/>
              </w:rPr>
              <m:t>)</m:t>
            </m:r>
          </m:e>
          <m:sup>
            <m:r>
              <w:rPr>
                <w:rFonts w:ascii="Cambria Math" w:hAnsi="Cambria Math"/>
                <w:sz w:val="24"/>
                <w:shd w:val="clear" w:color="auto" w:fill="FFFFFF"/>
              </w:rPr>
              <m:t>-n</m:t>
            </m:r>
          </m:sup>
        </m:sSup>
      </m:oMath>
      <w:r w:rsidRPr="005F4479">
        <w:rPr>
          <w:sz w:val="24"/>
          <w:shd w:val="clear" w:color="auto" w:fill="FFFFFF"/>
        </w:rPr>
        <w:t xml:space="preserve"> , hvor r angiver WACC udtrykt i decimal og n angiver året i budgetperioden. Herved er det muligt at bestemme nutidsværdien for det enkelte år, hvorefter disse slutligt summeres. Således er nutidsværdien for budgetperioden fundet, dvs. at samtlige år der er valgt at budgettere det fremtidige frie cash flow ud fra</w:t>
      </w:r>
      <w:r w:rsidR="00BD74A4" w:rsidRPr="005F4479">
        <w:rPr>
          <w:sz w:val="24"/>
          <w:shd w:val="clear" w:color="auto" w:fill="FFFFFF"/>
        </w:rPr>
        <w:t>,</w:t>
      </w:r>
      <w:r w:rsidRPr="005F4479">
        <w:rPr>
          <w:sz w:val="24"/>
          <w:shd w:val="clear" w:color="auto" w:fill="FFFFFF"/>
        </w:rPr>
        <w:t xml:space="preserve"> er tilbagediskonteret</w:t>
      </w:r>
      <w:r w:rsidR="00BD74A4" w:rsidRPr="005F4479">
        <w:rPr>
          <w:sz w:val="24"/>
          <w:shd w:val="clear" w:color="auto" w:fill="FFFFFF"/>
        </w:rPr>
        <w:t>,</w:t>
      </w:r>
      <w:r w:rsidRPr="005F4479">
        <w:rPr>
          <w:sz w:val="24"/>
          <w:shd w:val="clear" w:color="auto" w:fill="FFFFFF"/>
        </w:rPr>
        <w:t xml:space="preserve"> men da denne model bygger på going-concern princippet,</w:t>
      </w:r>
      <w:r w:rsidR="00BD74A4" w:rsidRPr="005F4479">
        <w:rPr>
          <w:sz w:val="24"/>
          <w:shd w:val="clear" w:color="auto" w:fill="FFFFFF"/>
        </w:rPr>
        <w:t xml:space="preserve"> </w:t>
      </w:r>
      <w:r w:rsidRPr="005F4479">
        <w:rPr>
          <w:sz w:val="24"/>
          <w:shd w:val="clear" w:color="auto" w:fill="FFFFFF"/>
        </w:rPr>
        <w:lastRenderedPageBreak/>
        <w:t>skal det frie cash flow, som generes efter budgetperioden</w:t>
      </w:r>
      <w:r w:rsidR="00FD2E71" w:rsidRPr="005F4479">
        <w:rPr>
          <w:sz w:val="24"/>
          <w:shd w:val="clear" w:color="auto" w:fill="FFFFFF"/>
        </w:rPr>
        <w:t>,</w:t>
      </w:r>
      <w:r w:rsidRPr="005F4479">
        <w:rPr>
          <w:sz w:val="24"/>
          <w:shd w:val="clear" w:color="auto" w:fill="FFFFFF"/>
        </w:rPr>
        <w:t xml:space="preserve"> også tilbag</w:t>
      </w:r>
      <w:r w:rsidR="00B65007" w:rsidRPr="005F4479">
        <w:rPr>
          <w:sz w:val="24"/>
          <w:shd w:val="clear" w:color="auto" w:fill="FFFFFF"/>
        </w:rPr>
        <w:t xml:space="preserve">ediskonteres. Terminalperiodens FCF </w:t>
      </w:r>
      <w:r w:rsidRPr="005F4479">
        <w:rPr>
          <w:sz w:val="24"/>
          <w:shd w:val="clear" w:color="auto" w:fill="FFFFFF"/>
        </w:rPr>
        <w:t xml:space="preserve">bestemmes vha. af følgende:  </w:t>
      </w:r>
    </w:p>
    <w:p w:rsidR="00C94069" w:rsidRPr="005F4479" w:rsidRDefault="00F24B46" w:rsidP="005F4479">
      <w:pPr>
        <w:spacing w:line="360" w:lineRule="auto"/>
        <w:rPr>
          <w:sz w:val="24"/>
          <w:shd w:val="clear" w:color="auto" w:fill="FFFFFF"/>
        </w:rPr>
      </w:pPr>
      <m:oMathPara>
        <m:oMath>
          <m:f>
            <m:fPr>
              <m:ctrlPr>
                <w:rPr>
                  <w:rFonts w:ascii="Cambria Math" w:hAnsi="Cambria Math"/>
                  <w:i/>
                  <w:sz w:val="24"/>
                  <w:shd w:val="clear" w:color="auto" w:fill="FFFFFF"/>
                </w:rPr>
              </m:ctrlPr>
            </m:fPr>
            <m:num>
              <m:r>
                <w:rPr>
                  <w:rFonts w:ascii="Cambria Math" w:hAnsi="Cambria Math"/>
                  <w:sz w:val="24"/>
                  <w:shd w:val="clear" w:color="auto" w:fill="FFFFFF"/>
                </w:rPr>
                <m:t>FCF i sidste budgetår*(1+forventet vækst i %)</m:t>
              </m:r>
            </m:num>
            <m:den>
              <m:r>
                <w:rPr>
                  <w:rFonts w:ascii="Cambria Math" w:hAnsi="Cambria Math"/>
                  <w:sz w:val="24"/>
                  <w:shd w:val="clear" w:color="auto" w:fill="FFFFFF"/>
                </w:rPr>
                <m:t>(WACC-Forventet vækst i %)</m:t>
              </m:r>
            </m:den>
          </m:f>
          <m:r>
            <w:rPr>
              <w:rStyle w:val="FootnoteReference"/>
              <w:rFonts w:ascii="Cambria Math" w:hAnsi="Cambria Math"/>
              <w:i/>
              <w:sz w:val="24"/>
              <w:shd w:val="clear" w:color="auto" w:fill="FFFFFF"/>
            </w:rPr>
            <w:footnoteReference w:id="11"/>
          </m:r>
        </m:oMath>
      </m:oMathPara>
    </w:p>
    <w:p w:rsidR="00B65007" w:rsidRPr="005F4479" w:rsidRDefault="00B65007" w:rsidP="005F4479">
      <w:pPr>
        <w:spacing w:line="360" w:lineRule="auto"/>
        <w:rPr>
          <w:sz w:val="24"/>
          <w:shd w:val="clear" w:color="auto" w:fill="FFFFFF"/>
        </w:rPr>
      </w:pPr>
    </w:p>
    <w:p w:rsidR="00C94069" w:rsidRPr="005F4479" w:rsidRDefault="00C94069" w:rsidP="005F4479">
      <w:pPr>
        <w:spacing w:line="360" w:lineRule="auto"/>
        <w:rPr>
          <w:sz w:val="24"/>
          <w:shd w:val="clear" w:color="auto" w:fill="FFFFFF"/>
        </w:rPr>
      </w:pPr>
      <w:r w:rsidRPr="005F4479">
        <w:rPr>
          <w:sz w:val="24"/>
          <w:shd w:val="clear" w:color="auto" w:fill="FFFFFF"/>
        </w:rPr>
        <w:t xml:space="preserve">Herved er det FCF for terminalperioden bestemt og skal derfor tilbagediskonteres vha. af diskonteringsfaktoren fra det sidste budgetår for at finde investeringsværdien i budgetperiodens år 0. </w:t>
      </w:r>
    </w:p>
    <w:p w:rsidR="00C94069" w:rsidRPr="005F4479" w:rsidRDefault="00C94069" w:rsidP="005F4479">
      <w:pPr>
        <w:spacing w:line="360" w:lineRule="auto"/>
        <w:rPr>
          <w:sz w:val="24"/>
          <w:shd w:val="clear" w:color="auto" w:fill="FFFFFF"/>
        </w:rPr>
      </w:pPr>
    </w:p>
    <w:p w:rsidR="00C94069" w:rsidRPr="005F4479" w:rsidRDefault="00C94069" w:rsidP="005F4479">
      <w:pPr>
        <w:spacing w:line="360" w:lineRule="auto"/>
        <w:rPr>
          <w:sz w:val="24"/>
          <w:shd w:val="clear" w:color="auto" w:fill="FFFFFF"/>
        </w:rPr>
      </w:pPr>
      <w:r w:rsidRPr="005F4479">
        <w:rPr>
          <w:sz w:val="24"/>
          <w:shd w:val="clear" w:color="auto" w:fill="FFFFFF"/>
        </w:rPr>
        <w:t>Bestemmelse af terminalværdien er det led i DCF-modellen, hvor den største forskel i værdiansættelsen kan ske,</w:t>
      </w:r>
      <w:r w:rsidR="00B65007" w:rsidRPr="005F4479">
        <w:rPr>
          <w:sz w:val="24"/>
          <w:shd w:val="clear" w:color="auto" w:fill="FFFFFF"/>
        </w:rPr>
        <w:t xml:space="preserve"> da terminalperioden er </w:t>
      </w:r>
      <w:r w:rsidR="00B65007" w:rsidRPr="005F4479">
        <w:rPr>
          <w:sz w:val="24"/>
        </w:rPr>
        <w:t>en perpetuitet, hvilket vil sige, at det forudsættes at virksomheden forsætter i al evighed.</w:t>
      </w:r>
      <w:r w:rsidR="007E4EA3" w:rsidRPr="005F4479">
        <w:rPr>
          <w:rStyle w:val="FootnoteReference"/>
          <w:sz w:val="24"/>
        </w:rPr>
        <w:footnoteReference w:id="12"/>
      </w:r>
      <w:r w:rsidR="00B65007" w:rsidRPr="005F4479">
        <w:rPr>
          <w:sz w:val="24"/>
          <w:shd w:val="clear" w:color="auto" w:fill="FFFFFF"/>
        </w:rPr>
        <w:t xml:space="preserve"> D</w:t>
      </w:r>
      <w:r w:rsidRPr="005F4479">
        <w:rPr>
          <w:sz w:val="24"/>
          <w:shd w:val="clear" w:color="auto" w:fill="FFFFFF"/>
        </w:rPr>
        <w:t>erfor er det vigtigt at fastsætte en realistisk fremtidig vækst. Det er derfor ikke holdbart at benytte en estimerede værdi på baggrund af de tidligere vækstrater. Årsagen hertil er, at vækstraterne naturligt vil stabiliseres på et lavere niveau når virksomheden har nået en kritisk masse, derfor bør man forvente encifrede vækstrater.</w:t>
      </w:r>
      <w:r w:rsidR="004C6D74" w:rsidRPr="005F4479">
        <w:rPr>
          <w:sz w:val="24"/>
          <w:shd w:val="clear" w:color="auto" w:fill="FFFFFF"/>
        </w:rPr>
        <w:t xml:space="preserve"> Desuden er byggebranchen i høj grad afhængig af konjunkturerne i samfundet.</w:t>
      </w:r>
      <w:r w:rsidRPr="005F4479">
        <w:rPr>
          <w:sz w:val="24"/>
          <w:shd w:val="clear" w:color="auto" w:fill="FFFFFF"/>
        </w:rPr>
        <w:t xml:space="preserve"> Væksten i det frie cash flow er derfor konstante i terminalperioden</w:t>
      </w:r>
      <w:r w:rsidR="004C6D74" w:rsidRPr="005F4479">
        <w:rPr>
          <w:sz w:val="24"/>
          <w:shd w:val="clear" w:color="auto" w:fill="FFFFFF"/>
        </w:rPr>
        <w:t>,</w:t>
      </w:r>
      <w:r w:rsidRPr="005F4479">
        <w:rPr>
          <w:sz w:val="24"/>
          <w:shd w:val="clear" w:color="auto" w:fill="FFFFFF"/>
        </w:rPr>
        <w:t xml:space="preserve"> til forskel for budgetperioden.  Forudsætn</w:t>
      </w:r>
      <w:r w:rsidR="004408C3">
        <w:rPr>
          <w:sz w:val="24"/>
          <w:shd w:val="clear" w:color="auto" w:fill="FFFFFF"/>
        </w:rPr>
        <w:t>ingernes indflydelse forklares</w:t>
      </w:r>
      <w:r w:rsidRPr="005F4479">
        <w:rPr>
          <w:sz w:val="24"/>
          <w:shd w:val="clear" w:color="auto" w:fill="FFFFFF"/>
        </w:rPr>
        <w:t xml:space="preserve"> i afsnittet om følsomhedsanalyse. </w:t>
      </w:r>
    </w:p>
    <w:p w:rsidR="00C94069" w:rsidRPr="005F4479" w:rsidRDefault="00C94069" w:rsidP="005F4479">
      <w:pPr>
        <w:spacing w:line="360" w:lineRule="auto"/>
        <w:rPr>
          <w:sz w:val="24"/>
          <w:shd w:val="clear" w:color="auto" w:fill="FFFFFF"/>
        </w:rPr>
      </w:pPr>
    </w:p>
    <w:p w:rsidR="00C94069" w:rsidRPr="005F4479" w:rsidRDefault="00C94069" w:rsidP="005F4479">
      <w:pPr>
        <w:spacing w:line="360" w:lineRule="auto"/>
        <w:rPr>
          <w:sz w:val="24"/>
          <w:shd w:val="clear" w:color="auto" w:fill="FFFFFF"/>
        </w:rPr>
      </w:pPr>
      <w:r w:rsidRPr="005F4479">
        <w:rPr>
          <w:sz w:val="24"/>
          <w:shd w:val="clear" w:color="auto" w:fill="FFFFFF"/>
        </w:rPr>
        <w:t xml:space="preserve">Den summerede værdi mellem nutidsværdien for henholdsvis budgetperioden og terminalperioden giver mellemresultatet estimeret virksomhedsværdi. Herefter fratrækkes netto </w:t>
      </w:r>
      <w:r w:rsidR="00A02E4A" w:rsidRPr="005F4479">
        <w:rPr>
          <w:sz w:val="24"/>
          <w:shd w:val="clear" w:color="auto" w:fill="FFFFFF"/>
        </w:rPr>
        <w:t>rentebærende gæld, he</w:t>
      </w:r>
      <w:r w:rsidRPr="005F4479">
        <w:rPr>
          <w:sz w:val="24"/>
          <w:shd w:val="clear" w:color="auto" w:fill="FFFFFF"/>
        </w:rPr>
        <w:t>r menes der kassekredit, bankgæld og andre rentebetalte kreditorer.</w:t>
      </w:r>
      <w:r w:rsidRPr="005F4479">
        <w:rPr>
          <w:rStyle w:val="FootnoteReference"/>
          <w:sz w:val="24"/>
          <w:shd w:val="clear" w:color="auto" w:fill="FFFFFF"/>
        </w:rPr>
        <w:footnoteReference w:id="13"/>
      </w:r>
      <w:r w:rsidRPr="005F4479">
        <w:rPr>
          <w:sz w:val="24"/>
          <w:shd w:val="clear" w:color="auto" w:fill="FFFFFF"/>
        </w:rPr>
        <w:t xml:space="preserve"> Herved er værdien af virksomheden bestemt. Denne værdi kaldes for den estimerede markedsværdi af virksomheden. </w:t>
      </w:r>
      <w:r w:rsidR="00E97FA7" w:rsidRPr="005F4479">
        <w:rPr>
          <w:sz w:val="24"/>
          <w:shd w:val="clear" w:color="auto" w:fill="FFFFFF"/>
        </w:rPr>
        <w:t>Derefter</w:t>
      </w:r>
      <w:r w:rsidRPr="005F4479">
        <w:rPr>
          <w:sz w:val="24"/>
          <w:shd w:val="clear" w:color="auto" w:fill="FFFFFF"/>
        </w:rPr>
        <w:t xml:space="preserve"> er det muligt</w:t>
      </w:r>
      <w:r w:rsidR="00E97FA7" w:rsidRPr="005F4479">
        <w:rPr>
          <w:sz w:val="24"/>
          <w:shd w:val="clear" w:color="auto" w:fill="FFFFFF"/>
        </w:rPr>
        <w:t>,</w:t>
      </w:r>
      <w:r w:rsidRPr="005F4479">
        <w:rPr>
          <w:sz w:val="24"/>
          <w:shd w:val="clear" w:color="auto" w:fill="FFFFFF"/>
        </w:rPr>
        <w:t xml:space="preserve"> alt efter om virksomheden har angivet antallet af aktier, at dividere markedsværdien i antal aktier.</w:t>
      </w:r>
      <w:r w:rsidR="00E97FA7" w:rsidRPr="005F4479">
        <w:rPr>
          <w:sz w:val="24"/>
          <w:shd w:val="clear" w:color="auto" w:fill="FFFFFF"/>
        </w:rPr>
        <w:t xml:space="preserve"> Således </w:t>
      </w:r>
      <w:r w:rsidRPr="005F4479">
        <w:rPr>
          <w:sz w:val="24"/>
          <w:shd w:val="clear" w:color="auto" w:fill="FFFFFF"/>
        </w:rPr>
        <w:t xml:space="preserve">er markedsværdien for den enkelte aktie bestemt. </w:t>
      </w:r>
    </w:p>
    <w:p w:rsidR="00CD7262" w:rsidRPr="005F4479" w:rsidRDefault="00CD7262" w:rsidP="005F4479">
      <w:pPr>
        <w:spacing w:line="360" w:lineRule="auto"/>
        <w:rPr>
          <w:sz w:val="24"/>
          <w:shd w:val="clear" w:color="auto" w:fill="FFFFFF"/>
        </w:rPr>
      </w:pPr>
    </w:p>
    <w:p w:rsidR="00CD7262" w:rsidRPr="005F4479" w:rsidRDefault="00CD7262" w:rsidP="005F4479">
      <w:pPr>
        <w:spacing w:line="360" w:lineRule="auto"/>
        <w:rPr>
          <w:sz w:val="24"/>
          <w:shd w:val="clear" w:color="auto" w:fill="FFFFFF"/>
        </w:rPr>
      </w:pPr>
    </w:p>
    <w:p w:rsidR="00C94069" w:rsidRPr="005F4479" w:rsidRDefault="00CD7262" w:rsidP="005F4479">
      <w:pPr>
        <w:pStyle w:val="Heading3"/>
        <w:spacing w:line="360" w:lineRule="auto"/>
        <w:rPr>
          <w:shd w:val="clear" w:color="auto" w:fill="FFFFFF"/>
        </w:rPr>
      </w:pPr>
      <w:bookmarkStart w:id="28" w:name="_Toc411419329"/>
      <w:bookmarkStart w:id="29" w:name="_Toc411420059"/>
      <w:bookmarkStart w:id="30" w:name="_Toc411421050"/>
      <w:bookmarkStart w:id="31" w:name="_Toc411429476"/>
      <w:bookmarkStart w:id="32" w:name="_Toc411429510"/>
      <w:bookmarkStart w:id="33" w:name="_Toc411429587"/>
      <w:bookmarkStart w:id="34" w:name="_Toc411435385"/>
      <w:bookmarkStart w:id="35" w:name="_Toc411437949"/>
      <w:bookmarkStart w:id="36" w:name="_Toc411439324"/>
      <w:bookmarkStart w:id="37" w:name="_Toc411525384"/>
      <w:r w:rsidRPr="005F4479">
        <w:rPr>
          <w:sz w:val="24"/>
          <w:shd w:val="clear" w:color="auto" w:fill="FFFFFF"/>
        </w:rPr>
        <w:lastRenderedPageBreak/>
        <w:t>4.2</w:t>
      </w:r>
      <w:r w:rsidRPr="005F4479">
        <w:rPr>
          <w:b w:val="0"/>
          <w:sz w:val="24"/>
          <w:shd w:val="clear" w:color="auto" w:fill="FFFFFF"/>
        </w:rPr>
        <w:t xml:space="preserve"> </w:t>
      </w:r>
      <w:r w:rsidR="00C94069" w:rsidRPr="005F4479">
        <w:rPr>
          <w:shd w:val="clear" w:color="auto" w:fill="FFFFFF"/>
        </w:rPr>
        <w:t>Følsomhedsanalyse</w:t>
      </w:r>
      <w:bookmarkEnd w:id="28"/>
      <w:bookmarkEnd w:id="29"/>
      <w:bookmarkEnd w:id="30"/>
      <w:bookmarkEnd w:id="31"/>
      <w:bookmarkEnd w:id="32"/>
      <w:bookmarkEnd w:id="33"/>
      <w:bookmarkEnd w:id="34"/>
      <w:bookmarkEnd w:id="35"/>
      <w:bookmarkEnd w:id="36"/>
      <w:bookmarkEnd w:id="37"/>
      <w:r w:rsidR="00C94069" w:rsidRPr="005F4479">
        <w:rPr>
          <w:shd w:val="clear" w:color="auto" w:fill="FFFFFF"/>
        </w:rPr>
        <w:t xml:space="preserve"> </w:t>
      </w:r>
    </w:p>
    <w:p w:rsidR="00C94069" w:rsidRPr="005F4479" w:rsidRDefault="00C94069" w:rsidP="005F4479">
      <w:pPr>
        <w:spacing w:line="360" w:lineRule="auto"/>
        <w:rPr>
          <w:b/>
          <w:sz w:val="24"/>
          <w:shd w:val="clear" w:color="auto" w:fill="FFFFFF"/>
        </w:rPr>
      </w:pPr>
    </w:p>
    <w:p w:rsidR="00C94069" w:rsidRPr="005F4479" w:rsidRDefault="00C94069" w:rsidP="005F4479">
      <w:pPr>
        <w:spacing w:line="360" w:lineRule="auto"/>
        <w:rPr>
          <w:sz w:val="24"/>
          <w:shd w:val="clear" w:color="auto" w:fill="FFFFFF"/>
        </w:rPr>
      </w:pPr>
      <w:r w:rsidRPr="005F4479">
        <w:rPr>
          <w:sz w:val="24"/>
          <w:shd w:val="clear" w:color="auto" w:fill="FFFFFF"/>
        </w:rPr>
        <w:t>En følsomhedsanalyse kan i værdiansættelsesøjemål være behjælpelig til at fastlægge usikkerhedsfaktorer ved de forudsætninger der benyttet i DCF-modellen. En følsomhedsanalyse vil altså med andre ord, vise hvordan virksomhedsværdien ændres i takt med ændring af de estimerede faktorer. Dette kan eksempelvis være en analyse, der belyser hvordan værdien ændres ved en ændring af vækstraten i henholdsvis omsætning og NOPAT. Som tidligere nævnt, er nutidsværdien i terminalperioden meget følsom over for ændring i forudsætningerne for den fremtidige vækst. Derfor vil netop denne faktor være relevant at iagttage, desuden vil NOPAT ratio været den anden faktor. Herved skabes en todimensionel følsomhedsanalyse.</w:t>
      </w:r>
      <w:r w:rsidRPr="005F4479">
        <w:rPr>
          <w:rStyle w:val="FootnoteReference"/>
          <w:sz w:val="24"/>
          <w:shd w:val="clear" w:color="auto" w:fill="FFFFFF"/>
        </w:rPr>
        <w:footnoteReference w:id="14"/>
      </w:r>
      <w:r w:rsidRPr="005F4479">
        <w:rPr>
          <w:sz w:val="24"/>
          <w:shd w:val="clear" w:color="auto" w:fill="FFFFFF"/>
        </w:rPr>
        <w:t xml:space="preserve">                                                                                                                                                                                                                                                                                                                                                                                                                                                                                                                                                                                                                                                                                                                                                              </w:t>
      </w:r>
    </w:p>
    <w:p w:rsidR="00734F91" w:rsidRPr="005F4479" w:rsidRDefault="00734F91" w:rsidP="005F4479">
      <w:pPr>
        <w:pStyle w:val="Heading2"/>
        <w:spacing w:line="360" w:lineRule="auto"/>
      </w:pPr>
    </w:p>
    <w:p w:rsidR="00BC0AD7" w:rsidRPr="005F4479" w:rsidRDefault="00F3000C" w:rsidP="005F4479">
      <w:pPr>
        <w:pStyle w:val="Heading3"/>
        <w:spacing w:line="360" w:lineRule="auto"/>
        <w:rPr>
          <w:sz w:val="32"/>
        </w:rPr>
      </w:pPr>
      <w:bookmarkStart w:id="38" w:name="_Toc411418565"/>
      <w:bookmarkStart w:id="39" w:name="_Toc411419331"/>
      <w:bookmarkStart w:id="40" w:name="_Toc411420061"/>
      <w:bookmarkStart w:id="41" w:name="_Toc411421052"/>
      <w:bookmarkStart w:id="42" w:name="_Toc411429478"/>
      <w:bookmarkStart w:id="43" w:name="_Toc411429512"/>
      <w:bookmarkStart w:id="44" w:name="_Toc411429589"/>
      <w:bookmarkStart w:id="45" w:name="_Toc411435387"/>
      <w:bookmarkStart w:id="46" w:name="_Toc411437951"/>
      <w:bookmarkStart w:id="47" w:name="_Toc411439326"/>
      <w:bookmarkStart w:id="48" w:name="_Toc411525385"/>
      <w:r w:rsidRPr="005F4479">
        <w:rPr>
          <w:sz w:val="32"/>
        </w:rPr>
        <w:t xml:space="preserve">5. </w:t>
      </w:r>
      <w:r w:rsidR="00BC0AD7" w:rsidRPr="005F4479">
        <w:rPr>
          <w:sz w:val="32"/>
        </w:rPr>
        <w:t>Økonomisk analyse</w:t>
      </w:r>
      <w:r w:rsidRPr="005F4479">
        <w:rPr>
          <w:sz w:val="32"/>
        </w:rPr>
        <w:t xml:space="preserve"> af</w:t>
      </w:r>
      <w:r w:rsidR="00BC0AD7" w:rsidRPr="005F4479">
        <w:rPr>
          <w:sz w:val="32"/>
        </w:rPr>
        <w:t xml:space="preserve"> NCC.</w:t>
      </w:r>
      <w:bookmarkEnd w:id="38"/>
      <w:bookmarkEnd w:id="39"/>
      <w:bookmarkEnd w:id="40"/>
      <w:bookmarkEnd w:id="41"/>
      <w:bookmarkEnd w:id="42"/>
      <w:bookmarkEnd w:id="43"/>
      <w:bookmarkEnd w:id="44"/>
      <w:bookmarkEnd w:id="45"/>
      <w:bookmarkEnd w:id="46"/>
      <w:bookmarkEnd w:id="47"/>
      <w:bookmarkEnd w:id="48"/>
      <w:r w:rsidR="00BC0AD7" w:rsidRPr="005F4479">
        <w:rPr>
          <w:sz w:val="32"/>
        </w:rPr>
        <w:t xml:space="preserve"> </w:t>
      </w:r>
    </w:p>
    <w:p w:rsidR="006A319C" w:rsidRPr="005F4479" w:rsidRDefault="006A319C" w:rsidP="005F4479">
      <w:pPr>
        <w:spacing w:line="360" w:lineRule="auto"/>
      </w:pPr>
    </w:p>
    <w:p w:rsidR="008E6372" w:rsidRDefault="00EF2A5B" w:rsidP="005F4479">
      <w:pPr>
        <w:spacing w:line="360" w:lineRule="auto"/>
        <w:rPr>
          <w:sz w:val="24"/>
        </w:rPr>
      </w:pPr>
      <w:r>
        <w:rPr>
          <w:sz w:val="24"/>
        </w:rPr>
        <w:t>For at fastslå NCC</w:t>
      </w:r>
      <w:r w:rsidR="0049424B" w:rsidRPr="005F4479">
        <w:rPr>
          <w:sz w:val="24"/>
        </w:rPr>
        <w:t>s mulighed for opkøb af Huscompagniet, e</w:t>
      </w:r>
      <w:r w:rsidR="000E4584" w:rsidRPr="005F4479">
        <w:rPr>
          <w:sz w:val="24"/>
        </w:rPr>
        <w:t>r det nødvendigt at gennemføre e</w:t>
      </w:r>
      <w:r w:rsidR="0049424B" w:rsidRPr="005F4479">
        <w:rPr>
          <w:sz w:val="24"/>
        </w:rPr>
        <w:t xml:space="preserve">n grundlæggende analyse af virksomhedens økonomiske situation. </w:t>
      </w:r>
      <w:r w:rsidR="00C54357" w:rsidRPr="005F4479">
        <w:rPr>
          <w:sz w:val="24"/>
        </w:rPr>
        <w:t>Den økonomis</w:t>
      </w:r>
      <w:r w:rsidR="002B613F">
        <w:rPr>
          <w:sz w:val="24"/>
        </w:rPr>
        <w:t>ke analyse af byggegiganten NCC</w:t>
      </w:r>
      <w:r w:rsidR="00C54357" w:rsidRPr="005F4479">
        <w:rPr>
          <w:sz w:val="24"/>
        </w:rPr>
        <w:t>, skal</w:t>
      </w:r>
      <w:r w:rsidR="0049424B" w:rsidRPr="005F4479">
        <w:rPr>
          <w:sz w:val="24"/>
        </w:rPr>
        <w:t xml:space="preserve"> altså</w:t>
      </w:r>
      <w:r w:rsidR="00C54357" w:rsidRPr="005F4479">
        <w:rPr>
          <w:sz w:val="24"/>
        </w:rPr>
        <w:t xml:space="preserve"> fungere som en analyse af deres økonomiske begrænsninger/muligheder i forbindelse med opkøb af bygge entreprenøren af 1 families huse, Huscompagniet A/S</w:t>
      </w:r>
      <w:r w:rsidR="00231499" w:rsidRPr="005F4479">
        <w:rPr>
          <w:sz w:val="24"/>
        </w:rPr>
        <w:t>. En rentabilitetsanalyse vil indledningsvis præsenteres, hvorefter koncernens soliditet og likviditet analyseres. Afslutningsvis analyseres pengestrømsopgørelsen for 2013 for at få et billede af koncernens nuværende likviditetsmæssige situation og derved deres</w:t>
      </w:r>
      <w:r w:rsidR="006A319C" w:rsidRPr="005F4479">
        <w:rPr>
          <w:sz w:val="24"/>
        </w:rPr>
        <w:t xml:space="preserve"> videre</w:t>
      </w:r>
      <w:r w:rsidR="00231499" w:rsidRPr="005F4479">
        <w:rPr>
          <w:sz w:val="24"/>
        </w:rPr>
        <w:t xml:space="preserve"> mulighed for at overholde gældsforpligtel</w:t>
      </w:r>
      <w:r w:rsidR="006A319C" w:rsidRPr="005F4479">
        <w:rPr>
          <w:sz w:val="24"/>
        </w:rPr>
        <w:t xml:space="preserve">ser i forbindelse med opkøb af Huscompagniet A/S. </w:t>
      </w:r>
      <w:r>
        <w:rPr>
          <w:sz w:val="24"/>
        </w:rPr>
        <w:t>Se bilag 8 for anvendte formler for beregning af nøgletal.</w:t>
      </w:r>
    </w:p>
    <w:p w:rsidR="00EF2A5B" w:rsidRDefault="00EF2A5B" w:rsidP="005F4479">
      <w:pPr>
        <w:spacing w:line="360" w:lineRule="auto"/>
        <w:rPr>
          <w:sz w:val="24"/>
        </w:rPr>
      </w:pPr>
    </w:p>
    <w:p w:rsidR="00EF2A5B" w:rsidRDefault="00EF2A5B" w:rsidP="005F4479">
      <w:pPr>
        <w:spacing w:line="360" w:lineRule="auto"/>
        <w:rPr>
          <w:sz w:val="24"/>
        </w:rPr>
      </w:pPr>
    </w:p>
    <w:p w:rsidR="00EF2A5B" w:rsidRDefault="00EF2A5B" w:rsidP="005F4479">
      <w:pPr>
        <w:spacing w:line="360" w:lineRule="auto"/>
        <w:rPr>
          <w:sz w:val="24"/>
        </w:rPr>
      </w:pPr>
    </w:p>
    <w:p w:rsidR="00EF2A5B" w:rsidRDefault="00EF2A5B" w:rsidP="005F4479">
      <w:pPr>
        <w:spacing w:line="360" w:lineRule="auto"/>
        <w:rPr>
          <w:sz w:val="24"/>
        </w:rPr>
      </w:pPr>
    </w:p>
    <w:p w:rsidR="00EF2A5B" w:rsidRDefault="00EF2A5B" w:rsidP="005F4479">
      <w:pPr>
        <w:spacing w:line="360" w:lineRule="auto"/>
        <w:rPr>
          <w:sz w:val="24"/>
        </w:rPr>
      </w:pPr>
    </w:p>
    <w:p w:rsidR="00EF2A5B" w:rsidRDefault="00EF2A5B" w:rsidP="005F4479">
      <w:pPr>
        <w:spacing w:line="360" w:lineRule="auto"/>
        <w:rPr>
          <w:sz w:val="24"/>
        </w:rPr>
      </w:pPr>
    </w:p>
    <w:p w:rsidR="00EF2A5B" w:rsidRDefault="00EF2A5B" w:rsidP="005F4479">
      <w:pPr>
        <w:spacing w:line="360" w:lineRule="auto"/>
        <w:rPr>
          <w:sz w:val="24"/>
        </w:rPr>
      </w:pPr>
    </w:p>
    <w:p w:rsidR="00EF2A5B" w:rsidRPr="005F4479" w:rsidRDefault="00EF2A5B" w:rsidP="005F4479">
      <w:pPr>
        <w:spacing w:line="360" w:lineRule="auto"/>
        <w:rPr>
          <w:sz w:val="24"/>
        </w:rPr>
      </w:pPr>
    </w:p>
    <w:p w:rsidR="00BC0AD7" w:rsidRPr="005F4479" w:rsidRDefault="00F3000C" w:rsidP="005F4479">
      <w:pPr>
        <w:pStyle w:val="Heading4"/>
        <w:spacing w:line="360" w:lineRule="auto"/>
        <w:rPr>
          <w:i w:val="0"/>
          <w:sz w:val="28"/>
        </w:rPr>
      </w:pPr>
      <w:bookmarkStart w:id="49" w:name="_Toc411418566"/>
      <w:bookmarkStart w:id="50" w:name="_Toc411420062"/>
      <w:bookmarkStart w:id="51" w:name="_Toc411429479"/>
      <w:bookmarkStart w:id="52" w:name="_Toc411429513"/>
      <w:bookmarkStart w:id="53" w:name="_Toc411429590"/>
      <w:bookmarkStart w:id="54" w:name="_Toc411439327"/>
      <w:bookmarkStart w:id="55" w:name="_Toc411525386"/>
      <w:r w:rsidRPr="005F4479">
        <w:rPr>
          <w:i w:val="0"/>
          <w:sz w:val="28"/>
        </w:rPr>
        <w:lastRenderedPageBreak/>
        <w:t xml:space="preserve">5. 1 </w:t>
      </w:r>
      <w:r w:rsidR="00BC0AD7" w:rsidRPr="005F4479">
        <w:rPr>
          <w:i w:val="0"/>
          <w:sz w:val="28"/>
        </w:rPr>
        <w:t>Rentabilitetsanalyse</w:t>
      </w:r>
      <w:bookmarkEnd w:id="49"/>
      <w:bookmarkEnd w:id="50"/>
      <w:bookmarkEnd w:id="51"/>
      <w:bookmarkEnd w:id="52"/>
      <w:bookmarkEnd w:id="53"/>
      <w:bookmarkEnd w:id="54"/>
      <w:bookmarkEnd w:id="55"/>
    </w:p>
    <w:p w:rsidR="005D7867" w:rsidRPr="005F4479" w:rsidRDefault="005D7867" w:rsidP="005F4479">
      <w:pPr>
        <w:spacing w:line="360" w:lineRule="auto"/>
      </w:pPr>
    </w:p>
    <w:p w:rsidR="00F3000C" w:rsidRPr="005F4479" w:rsidRDefault="00F3000C" w:rsidP="005F4479">
      <w:pPr>
        <w:pStyle w:val="Caption"/>
        <w:spacing w:line="360" w:lineRule="auto"/>
      </w:pPr>
      <w:bookmarkStart w:id="56" w:name="_Toc411509611"/>
      <w:r w:rsidRPr="005F4479">
        <w:rPr>
          <w:noProof/>
          <w:lang w:eastAsia="da-DK"/>
        </w:rPr>
        <w:drawing>
          <wp:inline distT="0" distB="0" distL="0" distR="0" wp14:anchorId="1D185E79" wp14:editId="4AED0180">
            <wp:extent cx="5759450" cy="17291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1729105"/>
                    </a:xfrm>
                    <a:prstGeom prst="rect">
                      <a:avLst/>
                    </a:prstGeom>
                  </pic:spPr>
                </pic:pic>
              </a:graphicData>
            </a:graphic>
          </wp:inline>
        </w:drawing>
      </w:r>
      <w:bookmarkEnd w:id="56"/>
    </w:p>
    <w:p w:rsidR="00F3000C" w:rsidRPr="005F4479" w:rsidRDefault="00F3000C" w:rsidP="005F4479">
      <w:pPr>
        <w:spacing w:line="360" w:lineRule="auto"/>
      </w:pPr>
      <w:r w:rsidRPr="005F4479">
        <w:t xml:space="preserve">Se bilag </w:t>
      </w:r>
      <w:r w:rsidR="00F66019">
        <w:t>1</w:t>
      </w:r>
      <w:r w:rsidRPr="005F4479">
        <w:rPr>
          <w:color w:val="FF0000"/>
        </w:rPr>
        <w:t xml:space="preserve"> </w:t>
      </w:r>
      <w:r w:rsidRPr="005F4479">
        <w:t>for de benyttede tal til nøgletalsberegningen</w:t>
      </w:r>
      <w:r w:rsidR="00A8406F">
        <w:t xml:space="preserve"> og bilag 2 for oversættelser af poster fra NCCs regnskab. </w:t>
      </w:r>
    </w:p>
    <w:p w:rsidR="00F3000C" w:rsidRPr="005F4479" w:rsidRDefault="00F3000C" w:rsidP="005F4479">
      <w:pPr>
        <w:spacing w:line="360" w:lineRule="auto"/>
        <w:rPr>
          <w:sz w:val="24"/>
        </w:rPr>
      </w:pPr>
    </w:p>
    <w:p w:rsidR="00BC0AD7" w:rsidRPr="005F4479" w:rsidRDefault="00F3000C" w:rsidP="005F4479">
      <w:pPr>
        <w:pStyle w:val="Heading5"/>
        <w:spacing w:line="360" w:lineRule="auto"/>
        <w:rPr>
          <w:b/>
        </w:rPr>
      </w:pPr>
      <w:bookmarkStart w:id="57" w:name="_Toc411525387"/>
      <w:bookmarkStart w:id="58" w:name="_Toc411420063"/>
      <w:bookmarkStart w:id="59" w:name="_Toc411429591"/>
      <w:bookmarkStart w:id="60" w:name="_Toc411439328"/>
      <w:r w:rsidRPr="005F4479">
        <w:rPr>
          <w:b/>
        </w:rPr>
        <w:t xml:space="preserve">5.1.1 </w:t>
      </w:r>
      <w:r w:rsidR="00362BF7" w:rsidRPr="005F4479">
        <w:rPr>
          <w:b/>
        </w:rPr>
        <w:t>Afkastningsgraden</w:t>
      </w:r>
      <w:bookmarkEnd w:id="57"/>
      <w:r w:rsidR="00362BF7" w:rsidRPr="005F4479">
        <w:rPr>
          <w:b/>
        </w:rPr>
        <w:t xml:space="preserve"> </w:t>
      </w:r>
      <w:bookmarkEnd w:id="58"/>
      <w:bookmarkEnd w:id="59"/>
      <w:bookmarkEnd w:id="60"/>
    </w:p>
    <w:p w:rsidR="00362BF7" w:rsidRPr="005F4479" w:rsidRDefault="00362BF7" w:rsidP="005F4479">
      <w:pPr>
        <w:spacing w:line="360" w:lineRule="auto"/>
        <w:rPr>
          <w:sz w:val="24"/>
        </w:rPr>
      </w:pPr>
    </w:p>
    <w:p w:rsidR="00BC0AD7" w:rsidRPr="005F4479" w:rsidRDefault="00362BF7" w:rsidP="005F4479">
      <w:pPr>
        <w:spacing w:line="360" w:lineRule="auto"/>
        <w:rPr>
          <w:sz w:val="24"/>
        </w:rPr>
      </w:pPr>
      <w:r w:rsidRPr="005F4479">
        <w:rPr>
          <w:sz w:val="24"/>
        </w:rPr>
        <w:t xml:space="preserve">NCCs evne til at forrente den investerede kapital er overodnet set forbedret igennem perioden fra 6,66% til 7,43%, altså en stigning i %-point på 0,78. Der er dog sket et ubetydeligt fald fra år 12 til 13, hvor AG er faldet 0,23 %-point i år 2013. </w:t>
      </w:r>
      <w:r w:rsidR="00C54357" w:rsidRPr="005F4479">
        <w:rPr>
          <w:sz w:val="24"/>
        </w:rPr>
        <w:t xml:space="preserve">Udviklingen er af ubetydelig størrelse og den må derfor for perioden forklares som stabil. </w:t>
      </w:r>
      <w:r w:rsidR="00DE6B6D" w:rsidRPr="005F4479">
        <w:rPr>
          <w:sz w:val="24"/>
        </w:rPr>
        <w:t>Niveauet</w:t>
      </w:r>
      <w:r w:rsidR="00A94DA6" w:rsidRPr="005F4479">
        <w:rPr>
          <w:sz w:val="24"/>
        </w:rPr>
        <w:t xml:space="preserve"> er </w:t>
      </w:r>
      <w:r w:rsidR="00DE6B6D" w:rsidRPr="005F4479">
        <w:rPr>
          <w:sz w:val="24"/>
        </w:rPr>
        <w:t xml:space="preserve">dog </w:t>
      </w:r>
      <w:r w:rsidR="00A94DA6" w:rsidRPr="005F4479">
        <w:rPr>
          <w:sz w:val="24"/>
        </w:rPr>
        <w:t>sammenligne</w:t>
      </w:r>
      <w:r w:rsidR="00DE6B6D" w:rsidRPr="005F4479">
        <w:rPr>
          <w:sz w:val="24"/>
        </w:rPr>
        <w:t>t med en et risikofrit afkast på danske 1</w:t>
      </w:r>
      <w:r w:rsidR="002D1936" w:rsidRPr="005F4479">
        <w:rPr>
          <w:sz w:val="24"/>
        </w:rPr>
        <w:t>0 årige statsobligationer på 1,71</w:t>
      </w:r>
      <w:r w:rsidR="00DE6B6D" w:rsidRPr="005F4479">
        <w:rPr>
          <w:sz w:val="24"/>
        </w:rPr>
        <w:t>%</w:t>
      </w:r>
      <w:r w:rsidR="00DE6B6D" w:rsidRPr="005F4479">
        <w:rPr>
          <w:rStyle w:val="FootnoteReference"/>
          <w:sz w:val="24"/>
        </w:rPr>
        <w:footnoteReference w:id="15"/>
      </w:r>
      <w:r w:rsidR="00DE6B6D" w:rsidRPr="005F4479">
        <w:rPr>
          <w:sz w:val="24"/>
        </w:rPr>
        <w:t xml:space="preserve"> + et afkast for risikovillighed</w:t>
      </w:r>
      <w:r w:rsidR="00F3000C" w:rsidRPr="005F4479">
        <w:rPr>
          <w:sz w:val="24"/>
        </w:rPr>
        <w:t xml:space="preserve"> fornuftigt</w:t>
      </w:r>
      <w:r w:rsidR="00DE6B6D" w:rsidRPr="005F4479">
        <w:rPr>
          <w:sz w:val="24"/>
        </w:rPr>
        <w:t xml:space="preserve">. Dog befinder NCC sig i en yderst volatil branche, og risikotillæg vil derfor være tilsvarende større. </w:t>
      </w:r>
      <w:r w:rsidR="000277F1" w:rsidRPr="005F4479">
        <w:rPr>
          <w:sz w:val="24"/>
        </w:rPr>
        <w:t xml:space="preserve">Et </w:t>
      </w:r>
      <w:r w:rsidR="002D1936" w:rsidRPr="005F4479">
        <w:rPr>
          <w:sz w:val="24"/>
        </w:rPr>
        <w:t>respektabelt</w:t>
      </w:r>
      <w:r w:rsidR="000277F1" w:rsidRPr="005F4479">
        <w:rPr>
          <w:sz w:val="24"/>
        </w:rPr>
        <w:t xml:space="preserve"> afkast</w:t>
      </w:r>
      <w:r w:rsidR="00FF18A4" w:rsidRPr="005F4479">
        <w:rPr>
          <w:sz w:val="24"/>
        </w:rPr>
        <w:t xml:space="preserve"> i denne branche</w:t>
      </w:r>
      <w:r w:rsidR="000277F1" w:rsidRPr="005F4479">
        <w:rPr>
          <w:sz w:val="24"/>
        </w:rPr>
        <w:t xml:space="preserve"> beskrives i bogen ”Financial Statement Analysis” (2012) til 9,5%, netop pga. den tilknyttede risikopræmie, men da bogen er udgivet i 2012, kan det som minimum forventes at </w:t>
      </w:r>
      <w:r w:rsidR="00484BE3" w:rsidRPr="005F4479">
        <w:rPr>
          <w:sz w:val="24"/>
        </w:rPr>
        <w:t>be</w:t>
      </w:r>
      <w:r w:rsidR="00D80709" w:rsidRPr="005F4479">
        <w:rPr>
          <w:sz w:val="24"/>
        </w:rPr>
        <w:t xml:space="preserve">skærer dette med hvad der svare til det tidligere nævnte risikofrie afkast, </w:t>
      </w:r>
      <w:r w:rsidR="00FF18A4" w:rsidRPr="005F4479">
        <w:rPr>
          <w:sz w:val="24"/>
        </w:rPr>
        <w:t>da bogen tager udgangspun</w:t>
      </w:r>
      <w:r w:rsidR="000E4104" w:rsidRPr="005F4479">
        <w:rPr>
          <w:sz w:val="24"/>
        </w:rPr>
        <w:t>kt i et risikofrit afkast på 4%</w:t>
      </w:r>
      <w:r w:rsidR="000277F1" w:rsidRPr="005F4479">
        <w:rPr>
          <w:sz w:val="24"/>
        </w:rPr>
        <w:t>.</w:t>
      </w:r>
      <w:r w:rsidR="002D5F65" w:rsidRPr="005F4479">
        <w:rPr>
          <w:sz w:val="24"/>
        </w:rPr>
        <w:t xml:space="preserve"> </w:t>
      </w:r>
      <w:r w:rsidR="000E4104" w:rsidRPr="005F4479">
        <w:rPr>
          <w:sz w:val="24"/>
        </w:rPr>
        <w:t>Herved ligger a</w:t>
      </w:r>
      <w:r w:rsidR="000277F1" w:rsidRPr="005F4479">
        <w:rPr>
          <w:sz w:val="24"/>
        </w:rPr>
        <w:t>fkastningsgraden altså på niveau med, hvad man burde kunne forvente af afkast i denne branche.</w:t>
      </w:r>
      <w:r w:rsidR="000277F1" w:rsidRPr="005F4479">
        <w:rPr>
          <w:rStyle w:val="FootnoteReference"/>
          <w:sz w:val="24"/>
        </w:rPr>
        <w:footnoteReference w:id="16"/>
      </w:r>
      <w:r w:rsidR="004A1D80" w:rsidRPr="005F4479">
        <w:rPr>
          <w:sz w:val="24"/>
        </w:rPr>
        <w:t xml:space="preserve"> Desuden </w:t>
      </w:r>
      <w:r w:rsidR="00A837BE" w:rsidRPr="005F4479">
        <w:rPr>
          <w:sz w:val="24"/>
        </w:rPr>
        <w:t>er rentemarginalen mellem gældsrenten og afkastningsgraden i g</w:t>
      </w:r>
      <w:r w:rsidR="000E4104" w:rsidRPr="005F4479">
        <w:rPr>
          <w:sz w:val="24"/>
        </w:rPr>
        <w:t>e</w:t>
      </w:r>
      <w:r w:rsidR="00A837BE" w:rsidRPr="005F4479">
        <w:rPr>
          <w:sz w:val="24"/>
        </w:rPr>
        <w:t xml:space="preserve">ns. 5,89%-point, </w:t>
      </w:r>
      <w:r w:rsidR="002D5F65" w:rsidRPr="005F4479">
        <w:rPr>
          <w:sz w:val="24"/>
        </w:rPr>
        <w:t>hvilket</w:t>
      </w:r>
      <w:r w:rsidR="00A837BE" w:rsidRPr="005F4479">
        <w:rPr>
          <w:sz w:val="24"/>
        </w:rPr>
        <w:t xml:space="preserve"> altså vidner om virksomhedens fornuftige evne til at tjene på arbejdet med gæld. </w:t>
      </w:r>
    </w:p>
    <w:p w:rsidR="00A837BE" w:rsidRPr="005F4479" w:rsidRDefault="00A837BE" w:rsidP="005F4479">
      <w:pPr>
        <w:spacing w:line="360" w:lineRule="auto"/>
        <w:rPr>
          <w:sz w:val="24"/>
        </w:rPr>
      </w:pPr>
    </w:p>
    <w:p w:rsidR="00D0689E" w:rsidRPr="005F4479" w:rsidRDefault="00A837BE" w:rsidP="005F4479">
      <w:pPr>
        <w:spacing w:line="360" w:lineRule="auto"/>
        <w:rPr>
          <w:sz w:val="24"/>
        </w:rPr>
      </w:pPr>
      <w:r w:rsidRPr="005F4479">
        <w:rPr>
          <w:sz w:val="24"/>
        </w:rPr>
        <w:lastRenderedPageBreak/>
        <w:t xml:space="preserve">Den stabile udvikling skyldes </w:t>
      </w:r>
      <w:r w:rsidR="00FC4E47" w:rsidRPr="005F4479">
        <w:rPr>
          <w:sz w:val="24"/>
        </w:rPr>
        <w:t>at koncernens tre hoved forretningsområder</w:t>
      </w:r>
      <w:r w:rsidR="009123FD" w:rsidRPr="005F4479">
        <w:rPr>
          <w:rStyle w:val="FootnoteReference"/>
          <w:sz w:val="24"/>
        </w:rPr>
        <w:footnoteReference w:id="17"/>
      </w:r>
      <w:r w:rsidR="00FC4E47" w:rsidRPr="005F4479">
        <w:rPr>
          <w:sz w:val="24"/>
        </w:rPr>
        <w:t xml:space="preserve"> i år 2012 og 2013 har trukket i hver sin retning, som altså derved har formået at skabe et stabilt ligevægtsresultat </w:t>
      </w:r>
      <w:r w:rsidR="00CC7BAD" w:rsidRPr="005F4479">
        <w:rPr>
          <w:sz w:val="24"/>
        </w:rPr>
        <w:t>med en begrænset vækst</w:t>
      </w:r>
      <w:r w:rsidR="00FC4E47" w:rsidRPr="005F4479">
        <w:rPr>
          <w:sz w:val="24"/>
        </w:rPr>
        <w:t>.</w:t>
      </w:r>
      <w:r w:rsidR="007B12ED" w:rsidRPr="005F4479">
        <w:rPr>
          <w:sz w:val="24"/>
        </w:rPr>
        <w:t xml:space="preserve"> Det fremgår af ledelsesberetningen for år</w:t>
      </w:r>
      <w:r w:rsidR="00FC4E47" w:rsidRPr="005F4479">
        <w:rPr>
          <w:sz w:val="24"/>
        </w:rPr>
        <w:t xml:space="preserve"> </w:t>
      </w:r>
      <w:r w:rsidR="007B12ED" w:rsidRPr="005F4479">
        <w:rPr>
          <w:sz w:val="24"/>
        </w:rPr>
        <w:t xml:space="preserve">2012, at koncernens evne til at forrente den investerede kapital </w:t>
      </w:r>
      <w:r w:rsidR="00135143" w:rsidRPr="005F4479">
        <w:rPr>
          <w:sz w:val="24"/>
        </w:rPr>
        <w:t xml:space="preserve">er </w:t>
      </w:r>
      <w:r w:rsidR="007B12ED" w:rsidRPr="005F4479">
        <w:rPr>
          <w:sz w:val="24"/>
        </w:rPr>
        <w:t>forbedret</w:t>
      </w:r>
      <w:r w:rsidR="00135143" w:rsidRPr="005F4479">
        <w:rPr>
          <w:sz w:val="24"/>
        </w:rPr>
        <w:t>,</w:t>
      </w:r>
      <w:r w:rsidR="007B12ED" w:rsidRPr="005F4479">
        <w:rPr>
          <w:sz w:val="24"/>
        </w:rPr>
        <w:t xml:space="preserve"> hovedsageligt som et resultat en salgsfremgang på det norske marked på 22%</w:t>
      </w:r>
      <w:r w:rsidR="00D0689E" w:rsidRPr="005F4479">
        <w:rPr>
          <w:sz w:val="24"/>
        </w:rPr>
        <w:t xml:space="preserve"> og en gennemført etablering af civil ingeniør operationer som forløb som planlagt. Ydermere kan fremdriften belyses ved sammenhængen mellem koncernens kapitaltilpasningsevne som i 2012 har bidraget negativt til udviklingen i AG, det andet grundelement for afkastningsgraden er overskudsgraden som har påvirket AG i positiv retning.</w:t>
      </w:r>
    </w:p>
    <w:p w:rsidR="00D0689E" w:rsidRPr="005F4479" w:rsidRDefault="00D0689E" w:rsidP="005F4479">
      <w:pPr>
        <w:spacing w:line="360" w:lineRule="auto"/>
        <w:rPr>
          <w:sz w:val="24"/>
        </w:rPr>
      </w:pPr>
    </w:p>
    <w:p w:rsidR="002D5F65" w:rsidRPr="005F4479" w:rsidRDefault="00CC7BAD" w:rsidP="005F4479">
      <w:pPr>
        <w:spacing w:line="360" w:lineRule="auto"/>
        <w:rPr>
          <w:sz w:val="24"/>
        </w:rPr>
      </w:pPr>
      <w:r w:rsidRPr="005F4479">
        <w:rPr>
          <w:sz w:val="24"/>
        </w:rPr>
        <w:t>Det ubetydelige fald</w:t>
      </w:r>
      <w:r w:rsidR="00D0689E" w:rsidRPr="005F4479">
        <w:rPr>
          <w:sz w:val="24"/>
        </w:rPr>
        <w:t xml:space="preserve"> i 2013 kontra 2012 skyldes en overvægt af nedgang i de tre forretningsområder. Der rapporteres</w:t>
      </w:r>
      <w:r w:rsidR="002B613F">
        <w:rPr>
          <w:sz w:val="24"/>
        </w:rPr>
        <w:t xml:space="preserve"> i</w:t>
      </w:r>
      <w:r w:rsidR="00D0689E" w:rsidRPr="005F4479">
        <w:rPr>
          <w:sz w:val="24"/>
        </w:rPr>
        <w:t xml:space="preserve"> </w:t>
      </w:r>
      <w:r w:rsidR="00954766" w:rsidRPr="005F4479">
        <w:rPr>
          <w:sz w:val="24"/>
        </w:rPr>
        <w:t xml:space="preserve">årsrapporten for 2013 </w:t>
      </w:r>
      <w:r w:rsidR="00D0689E" w:rsidRPr="005F4479">
        <w:rPr>
          <w:sz w:val="24"/>
        </w:rPr>
        <w:t xml:space="preserve">om problemer med profitten på det norske marked og en flad økonomi hos finnerne som endnu ikke har sat gang i </w:t>
      </w:r>
      <w:r w:rsidR="00A55A2D" w:rsidRPr="005F4479">
        <w:rPr>
          <w:sz w:val="24"/>
        </w:rPr>
        <w:t>den meget konjunkturbestemte branche. Den lange vinter i Sverige har betydet, at forretningsområdet infrastruktur har haft en mindre slagvolumen sammenlignet med sidste år, hvilket altså har betydet en nedgang i omsætning</w:t>
      </w:r>
      <w:r w:rsidR="00FB1502" w:rsidRPr="005F4479">
        <w:rPr>
          <w:sz w:val="24"/>
        </w:rPr>
        <w:t>, men en neutral påvirkning af EBIT grundet stigning i priser</w:t>
      </w:r>
      <w:r w:rsidR="00A55A2D" w:rsidRPr="005F4479">
        <w:rPr>
          <w:sz w:val="24"/>
        </w:rPr>
        <w:t xml:space="preserve">. </w:t>
      </w:r>
      <w:r w:rsidR="002D5F65" w:rsidRPr="005F4479">
        <w:rPr>
          <w:sz w:val="24"/>
        </w:rPr>
        <w:t xml:space="preserve">Det nordiske marked for konstruktion og civil ingeniør faldt de første 6 måneder, hvorefter det langsomt mødte en forbedring. EBIT </w:t>
      </w:r>
      <w:r w:rsidR="00EF7187" w:rsidRPr="005F4479">
        <w:rPr>
          <w:sz w:val="24"/>
        </w:rPr>
        <w:t xml:space="preserve">faldt </w:t>
      </w:r>
      <w:r w:rsidR="002D5F65" w:rsidRPr="005F4479">
        <w:rPr>
          <w:sz w:val="24"/>
        </w:rPr>
        <w:t>grundet forholdsmæssigt mindre salg og problemer med profitskabelse på de norske marked</w:t>
      </w:r>
      <w:r w:rsidR="002B613F">
        <w:rPr>
          <w:sz w:val="24"/>
        </w:rPr>
        <w:t>.</w:t>
      </w:r>
    </w:p>
    <w:p w:rsidR="002D5F65" w:rsidRPr="005F4479" w:rsidRDefault="002D5F65" w:rsidP="005F4479">
      <w:pPr>
        <w:spacing w:line="360" w:lineRule="auto"/>
        <w:rPr>
          <w:sz w:val="24"/>
        </w:rPr>
      </w:pPr>
    </w:p>
    <w:p w:rsidR="002D5F65" w:rsidRPr="005F4479" w:rsidRDefault="00F3000C" w:rsidP="005F4479">
      <w:pPr>
        <w:pStyle w:val="Heading5"/>
        <w:spacing w:line="360" w:lineRule="auto"/>
        <w:rPr>
          <w:b/>
          <w:sz w:val="24"/>
        </w:rPr>
      </w:pPr>
      <w:bookmarkStart w:id="61" w:name="_Toc411525388"/>
      <w:bookmarkStart w:id="62" w:name="_Toc411420064"/>
      <w:bookmarkStart w:id="63" w:name="_Toc411429592"/>
      <w:bookmarkStart w:id="64" w:name="_Toc411439329"/>
      <w:r w:rsidRPr="005F4479">
        <w:rPr>
          <w:b/>
          <w:sz w:val="24"/>
        </w:rPr>
        <w:t xml:space="preserve">5.1.2 </w:t>
      </w:r>
      <w:r w:rsidR="002D5F65" w:rsidRPr="005F4479">
        <w:rPr>
          <w:b/>
          <w:sz w:val="24"/>
        </w:rPr>
        <w:t>Overskudsgraden</w:t>
      </w:r>
      <w:bookmarkEnd w:id="61"/>
      <w:r w:rsidR="002D5F65" w:rsidRPr="005F4479">
        <w:rPr>
          <w:b/>
          <w:sz w:val="24"/>
        </w:rPr>
        <w:t xml:space="preserve"> </w:t>
      </w:r>
      <w:bookmarkEnd w:id="62"/>
      <w:bookmarkEnd w:id="63"/>
      <w:bookmarkEnd w:id="64"/>
    </w:p>
    <w:p w:rsidR="00CC0EE1" w:rsidRPr="005F4479" w:rsidRDefault="00CC0EE1" w:rsidP="005F4479">
      <w:pPr>
        <w:spacing w:line="360" w:lineRule="auto"/>
        <w:rPr>
          <w:b/>
          <w:sz w:val="24"/>
        </w:rPr>
      </w:pPr>
    </w:p>
    <w:p w:rsidR="00CC0EE1" w:rsidRPr="005F4479" w:rsidRDefault="00783838" w:rsidP="005F4479">
      <w:pPr>
        <w:spacing w:line="360" w:lineRule="auto"/>
        <w:rPr>
          <w:sz w:val="24"/>
        </w:rPr>
      </w:pPr>
      <w:r w:rsidRPr="005F4479">
        <w:rPr>
          <w:sz w:val="24"/>
        </w:rPr>
        <w:t>Konernes</w:t>
      </w:r>
      <w:r w:rsidR="00A17EBF" w:rsidRPr="005F4479">
        <w:rPr>
          <w:sz w:val="24"/>
        </w:rPr>
        <w:t xml:space="preserve"> indtjeningsevne er fra 2</w:t>
      </w:r>
      <w:r w:rsidR="008331EB" w:rsidRPr="005F4479">
        <w:rPr>
          <w:sz w:val="24"/>
        </w:rPr>
        <w:t>011 til 2013 forbedret med 0,93</w:t>
      </w:r>
      <w:r w:rsidR="00A17EBF" w:rsidRPr="005F4479">
        <w:rPr>
          <w:sz w:val="24"/>
        </w:rPr>
        <w:t>%-point fra 3,98% i 2011 til 4,91% i 2013. Udviklingen er fornuftigt og befinder sig i 2013 på et tilfredsstillende niveau, sammenlignet med MT Højgaard</w:t>
      </w:r>
      <w:r w:rsidR="008331EB" w:rsidRPr="005F4479">
        <w:rPr>
          <w:sz w:val="24"/>
        </w:rPr>
        <w:t>s</w:t>
      </w:r>
      <w:r w:rsidR="00B31C5C" w:rsidRPr="005F4479">
        <w:rPr>
          <w:rStyle w:val="FootnoteReference"/>
          <w:sz w:val="24"/>
        </w:rPr>
        <w:footnoteReference w:id="18"/>
      </w:r>
      <w:r w:rsidR="00A17EBF" w:rsidRPr="005F4479">
        <w:rPr>
          <w:sz w:val="24"/>
        </w:rPr>
        <w:t xml:space="preserve">, </w:t>
      </w:r>
      <w:r w:rsidR="008331EB" w:rsidRPr="005F4479">
        <w:rPr>
          <w:sz w:val="24"/>
        </w:rPr>
        <w:t xml:space="preserve">en af NCC’s tætte konkurrenter, </w:t>
      </w:r>
      <w:r w:rsidR="00A17EBF" w:rsidRPr="005F4479">
        <w:rPr>
          <w:sz w:val="24"/>
        </w:rPr>
        <w:t xml:space="preserve">niveau på 2,2%. </w:t>
      </w:r>
      <w:r w:rsidRPr="005F4479">
        <w:rPr>
          <w:sz w:val="24"/>
        </w:rPr>
        <w:t xml:space="preserve"> </w:t>
      </w:r>
      <w:r w:rsidR="002D35DE" w:rsidRPr="005F4479">
        <w:rPr>
          <w:sz w:val="24"/>
        </w:rPr>
        <w:t xml:space="preserve">Fremgangen skyldes overodnet set, en væsentlig større stigning i EBIT (32,8%) og finansielle indtægter (117,11%), end nøgletallets nævner, nemlig omsætning (10%). Derved er virksomhedens indtjeningsevne svagt forbedret igennem perioden. Samme mønster tegner sig for 2013, hvor de EBIT er steget 6,35% imod en forholdsvis lille stigning i omsætning på 1,04%. Desuden </w:t>
      </w:r>
      <w:r w:rsidR="002D35DE" w:rsidRPr="005F4479">
        <w:rPr>
          <w:sz w:val="24"/>
        </w:rPr>
        <w:lastRenderedPageBreak/>
        <w:t xml:space="preserve">skal forbedringen også findes i de finansielle indtægters vækstrate som for dette år lander på 17,02% og derved også genere en positiv udvikling i koncernens indtjeningsevne. </w:t>
      </w:r>
    </w:p>
    <w:p w:rsidR="00CC0EE1" w:rsidRPr="005F4479" w:rsidRDefault="00CC0EE1" w:rsidP="005F4479">
      <w:pPr>
        <w:spacing w:line="360" w:lineRule="auto"/>
        <w:rPr>
          <w:sz w:val="24"/>
        </w:rPr>
      </w:pPr>
    </w:p>
    <w:p w:rsidR="00CC0EE1" w:rsidRPr="005F4479" w:rsidRDefault="00CD5529" w:rsidP="005F4479">
      <w:pPr>
        <w:spacing w:line="360" w:lineRule="auto"/>
        <w:rPr>
          <w:sz w:val="24"/>
        </w:rPr>
      </w:pPr>
      <w:r w:rsidRPr="005F4479">
        <w:rPr>
          <w:sz w:val="24"/>
        </w:rPr>
        <w:t>Den lille, men alligevel fornuftige udvikling skal findes i kvartal 1,3 og 4</w:t>
      </w:r>
      <w:r w:rsidR="00CC0EE1" w:rsidRPr="005F4479">
        <w:rPr>
          <w:sz w:val="24"/>
        </w:rPr>
        <w:t xml:space="preserve"> i 2012</w:t>
      </w:r>
      <w:r w:rsidRPr="005F4479">
        <w:rPr>
          <w:sz w:val="24"/>
        </w:rPr>
        <w:t xml:space="preserve">. Disse kvartaler har været båret af fremgang </w:t>
      </w:r>
      <w:r w:rsidR="00CC0EE1" w:rsidRPr="005F4479">
        <w:rPr>
          <w:sz w:val="24"/>
        </w:rPr>
        <w:t>forhold til det foregående år, hvor første kvartal</w:t>
      </w:r>
      <w:r w:rsidR="003E6999">
        <w:rPr>
          <w:sz w:val="24"/>
        </w:rPr>
        <w:t xml:space="preserve"> har været præget af fremgang i</w:t>
      </w:r>
      <w:r w:rsidR="00CC0EE1" w:rsidRPr="005F4479">
        <w:rPr>
          <w:sz w:val="24"/>
        </w:rPr>
        <w:t xml:space="preserve"> samtlige forretningsområder, nævneværdigt området ”Development” som forholdsmæssigt til sidste år havde en betragtelig profit forbedring, indtjeningen på det norske og finske marked trak dog i modsat retning, men ikke nok til at overkompensere. Q2 var et præget af nedgang i ordreantallet, hvorimod Q3’s succes var skabt på baggrund af en succesfuld gennemf</w:t>
      </w:r>
      <w:r w:rsidR="003E6999">
        <w:rPr>
          <w:sz w:val="24"/>
        </w:rPr>
        <w:t>ørsel af ”Construction A</w:t>
      </w:r>
      <w:r w:rsidR="00CC0EE1" w:rsidRPr="005F4479">
        <w:rPr>
          <w:sz w:val="24"/>
        </w:rPr>
        <w:t>ction</w:t>
      </w:r>
      <w:r w:rsidR="0089602A">
        <w:rPr>
          <w:sz w:val="24"/>
        </w:rPr>
        <w:t xml:space="preserve"> Program”, hvilket altså genereret</w:t>
      </w:r>
      <w:r w:rsidR="00CC0EE1" w:rsidRPr="005F4479">
        <w:rPr>
          <w:sz w:val="24"/>
        </w:rPr>
        <w:t xml:space="preserve"> en indtjeningsfremgang.  Q4 var sammenlignet med sidste års Q4 præget af indtjeningsniveau på samme el</w:t>
      </w:r>
      <w:r w:rsidR="00D66CB5">
        <w:rPr>
          <w:sz w:val="24"/>
        </w:rPr>
        <w:t xml:space="preserve">ler højere niveau </w:t>
      </w:r>
      <w:r w:rsidR="006D245A" w:rsidRPr="005F4479">
        <w:rPr>
          <w:sz w:val="24"/>
        </w:rPr>
        <w:t xml:space="preserve">i samtlige forretningsområder. </w:t>
      </w:r>
    </w:p>
    <w:p w:rsidR="00CC0EE1" w:rsidRPr="005F4479" w:rsidRDefault="00CC0EE1" w:rsidP="005F4479">
      <w:pPr>
        <w:spacing w:line="360" w:lineRule="auto"/>
        <w:rPr>
          <w:sz w:val="24"/>
        </w:rPr>
      </w:pPr>
      <w:bookmarkStart w:id="65" w:name="_GoBack"/>
      <w:bookmarkEnd w:id="65"/>
    </w:p>
    <w:p w:rsidR="00CC0EE1" w:rsidRPr="005F4479" w:rsidRDefault="00F3000C" w:rsidP="005F4479">
      <w:pPr>
        <w:pStyle w:val="Heading5"/>
        <w:spacing w:line="360" w:lineRule="auto"/>
        <w:rPr>
          <w:b/>
          <w:sz w:val="24"/>
        </w:rPr>
      </w:pPr>
      <w:bookmarkStart w:id="66" w:name="_Toc411525389"/>
      <w:bookmarkStart w:id="67" w:name="_Toc411420065"/>
      <w:bookmarkStart w:id="68" w:name="_Toc411429593"/>
      <w:bookmarkStart w:id="69" w:name="_Toc411439330"/>
      <w:r w:rsidRPr="005F4479">
        <w:rPr>
          <w:b/>
          <w:sz w:val="24"/>
        </w:rPr>
        <w:t xml:space="preserve">5.1.3 </w:t>
      </w:r>
      <w:r w:rsidR="00CC0EE1" w:rsidRPr="005F4479">
        <w:rPr>
          <w:b/>
          <w:sz w:val="24"/>
        </w:rPr>
        <w:t>Aktivernes omsætningshastighed</w:t>
      </w:r>
      <w:bookmarkEnd w:id="66"/>
      <w:r w:rsidR="00CC0EE1" w:rsidRPr="005F4479">
        <w:rPr>
          <w:b/>
          <w:sz w:val="24"/>
        </w:rPr>
        <w:t xml:space="preserve"> </w:t>
      </w:r>
      <w:bookmarkEnd w:id="67"/>
      <w:bookmarkEnd w:id="68"/>
      <w:bookmarkEnd w:id="69"/>
    </w:p>
    <w:p w:rsidR="008B3A1D" w:rsidRPr="005F4479" w:rsidRDefault="008B3A1D" w:rsidP="005F4479">
      <w:pPr>
        <w:spacing w:line="360" w:lineRule="auto"/>
      </w:pPr>
    </w:p>
    <w:p w:rsidR="00A55A2D" w:rsidRPr="005F4479" w:rsidRDefault="003B1021" w:rsidP="005F4479">
      <w:pPr>
        <w:spacing w:line="360" w:lineRule="auto"/>
        <w:rPr>
          <w:sz w:val="24"/>
        </w:rPr>
      </w:pPr>
      <w:r w:rsidRPr="005F4479">
        <w:rPr>
          <w:sz w:val="24"/>
        </w:rPr>
        <w:t>Virksomhedens kapitaltilpasningsevne har for perioden mødt en forværring på 0,15g fra 1,67g i 2011 til 1,51 i 2013</w:t>
      </w:r>
      <w:r w:rsidR="008C6BD9" w:rsidRPr="005F4479">
        <w:rPr>
          <w:sz w:val="24"/>
        </w:rPr>
        <w:t xml:space="preserve">, altså et procentvis fald på </w:t>
      </w:r>
      <w:r w:rsidR="00E94DFD" w:rsidRPr="005F4479">
        <w:rPr>
          <w:sz w:val="24"/>
        </w:rPr>
        <w:t>9,5%</w:t>
      </w:r>
      <w:r w:rsidRPr="005F4479">
        <w:rPr>
          <w:sz w:val="24"/>
        </w:rPr>
        <w:t xml:space="preserve">. </w:t>
      </w:r>
      <w:r w:rsidR="003B075E" w:rsidRPr="005F4479">
        <w:rPr>
          <w:sz w:val="24"/>
        </w:rPr>
        <w:t xml:space="preserve">Udviklingen er ikke </w:t>
      </w:r>
      <w:r w:rsidR="005532BB" w:rsidRPr="005F4479">
        <w:rPr>
          <w:sz w:val="24"/>
        </w:rPr>
        <w:t>tilfredsstillende</w:t>
      </w:r>
      <w:r w:rsidR="003B075E" w:rsidRPr="005F4479">
        <w:rPr>
          <w:sz w:val="24"/>
        </w:rPr>
        <w:t xml:space="preserve"> og værner om koncernens manglende kapitaludnyttelse. Til sammenligning præsterede MT Højgaard en kapitaltilpasningsevne på 1,74g</w:t>
      </w:r>
      <w:r w:rsidR="00E94DFD" w:rsidRPr="005F4479">
        <w:rPr>
          <w:rStyle w:val="FootnoteReference"/>
          <w:sz w:val="24"/>
        </w:rPr>
        <w:footnoteReference w:id="19"/>
      </w:r>
      <w:r w:rsidR="003B075E" w:rsidRPr="005F4479">
        <w:rPr>
          <w:sz w:val="24"/>
        </w:rPr>
        <w:t>, hvorved NCC altså ligger 0,23g under. Den forværrede udvikling skyldes i høj grad en forøget investering fra NCC’s</w:t>
      </w:r>
      <w:r w:rsidR="003536E7" w:rsidRPr="005F4479">
        <w:rPr>
          <w:sz w:val="24"/>
        </w:rPr>
        <w:t xml:space="preserve"> side som i de kommende år</w:t>
      </w:r>
      <w:r w:rsidR="003B075E" w:rsidRPr="005F4479">
        <w:rPr>
          <w:sz w:val="24"/>
        </w:rPr>
        <w:t xml:space="preserve"> vil betale sig af</w:t>
      </w:r>
      <w:r w:rsidR="003536E7" w:rsidRPr="005F4479">
        <w:rPr>
          <w:sz w:val="24"/>
        </w:rPr>
        <w:t xml:space="preserve"> i form af en forbedret AOH</w:t>
      </w:r>
      <w:r w:rsidR="002E44E9">
        <w:rPr>
          <w:sz w:val="24"/>
        </w:rPr>
        <w:t xml:space="preserve"> og derved også en række andre nøgletal</w:t>
      </w:r>
      <w:r w:rsidR="003536E7" w:rsidRPr="005F4479">
        <w:rPr>
          <w:sz w:val="24"/>
        </w:rPr>
        <w:t xml:space="preserve">. </w:t>
      </w:r>
      <w:r w:rsidR="005532BB" w:rsidRPr="005F4479">
        <w:rPr>
          <w:sz w:val="24"/>
        </w:rPr>
        <w:t xml:space="preserve">Det fremgår af ledelse beretningerne fra 2011, at etablering af forretningsområdet civil ingeniør, ville være et fokus punkt i løbet af 2012, hvorfor dette altså medfører store stigninger i koncernens aktiver uden at omsætning i første omgang kan følge med i samme tempo. Desuden fremgår det af samtlige ledelsesberetninger i perioden 2011-2013, at ekspansion i Danmark og Norge har været et fokuspunkt. NCC etablerede i 2012 et omfattende netværk af genbrugsstationer til byggeaffald, hvilket altså har påvirket AOH i negativ </w:t>
      </w:r>
      <w:r w:rsidR="00D50528">
        <w:rPr>
          <w:sz w:val="24"/>
        </w:rPr>
        <w:t>r</w:t>
      </w:r>
      <w:r w:rsidR="005532BB" w:rsidRPr="005F4479">
        <w:rPr>
          <w:sz w:val="24"/>
        </w:rPr>
        <w:t xml:space="preserve">etning. Udviklingen i kapitaltilpasningsevnen </w:t>
      </w:r>
      <w:r w:rsidR="003536E7" w:rsidRPr="005F4479">
        <w:rPr>
          <w:sz w:val="24"/>
        </w:rPr>
        <w:t xml:space="preserve">har altså påvirket afkastningsgraden i negativ retning. </w:t>
      </w:r>
    </w:p>
    <w:p w:rsidR="005532BB" w:rsidRPr="005F4479" w:rsidRDefault="005532BB" w:rsidP="005F4479">
      <w:pPr>
        <w:pStyle w:val="Heading5"/>
        <w:spacing w:line="360" w:lineRule="auto"/>
      </w:pPr>
    </w:p>
    <w:p w:rsidR="005532BB" w:rsidRPr="005F4479" w:rsidRDefault="00F3000C" w:rsidP="005F4479">
      <w:pPr>
        <w:pStyle w:val="Heading5"/>
        <w:spacing w:line="360" w:lineRule="auto"/>
        <w:rPr>
          <w:b/>
          <w:sz w:val="24"/>
        </w:rPr>
      </w:pPr>
      <w:bookmarkStart w:id="70" w:name="_Toc411420066"/>
      <w:bookmarkStart w:id="71" w:name="_Toc411429594"/>
      <w:bookmarkStart w:id="72" w:name="_Toc411439331"/>
      <w:bookmarkStart w:id="73" w:name="_Toc411525390"/>
      <w:r w:rsidRPr="005F4479">
        <w:rPr>
          <w:b/>
          <w:sz w:val="24"/>
        </w:rPr>
        <w:t xml:space="preserve">5.1.4 </w:t>
      </w:r>
      <w:r w:rsidR="005532BB" w:rsidRPr="005F4479">
        <w:rPr>
          <w:b/>
          <w:sz w:val="24"/>
        </w:rPr>
        <w:t>Egenkapitals forrentning</w:t>
      </w:r>
      <w:bookmarkEnd w:id="70"/>
      <w:bookmarkEnd w:id="71"/>
      <w:bookmarkEnd w:id="72"/>
      <w:bookmarkEnd w:id="73"/>
      <w:r w:rsidRPr="005F4479">
        <w:rPr>
          <w:b/>
          <w:sz w:val="24"/>
        </w:rPr>
        <w:t xml:space="preserve"> </w:t>
      </w:r>
    </w:p>
    <w:p w:rsidR="008B3A1D" w:rsidRPr="005F4479" w:rsidRDefault="008B3A1D" w:rsidP="005F4479">
      <w:pPr>
        <w:spacing w:line="360" w:lineRule="auto"/>
      </w:pPr>
    </w:p>
    <w:p w:rsidR="003F74E3" w:rsidRPr="005F4479" w:rsidRDefault="003536E7" w:rsidP="005F4479">
      <w:pPr>
        <w:spacing w:line="360" w:lineRule="auto"/>
        <w:rPr>
          <w:sz w:val="24"/>
        </w:rPr>
      </w:pPr>
      <w:r w:rsidRPr="005F4479">
        <w:rPr>
          <w:sz w:val="24"/>
        </w:rPr>
        <w:t xml:space="preserve">Koncernens evne til at forrente egenkapitalen er overodnet set forbedret for perioden 2011-2013 </w:t>
      </w:r>
      <w:r w:rsidR="00BF3108">
        <w:rPr>
          <w:sz w:val="24"/>
        </w:rPr>
        <w:t xml:space="preserve">med </w:t>
      </w:r>
      <w:r w:rsidRPr="005F4479">
        <w:rPr>
          <w:sz w:val="24"/>
        </w:rPr>
        <w:t>5,7%-point, fra 23,7% i 2011 til 29,4% i 2013. Fra 2012 til 2013 skete der dog et ubetydeligt fald fra 30,9% til 29,4%, altså et fald på 1,4%-point. Udviklingen skyldes en fornuftig</w:t>
      </w:r>
      <w:r w:rsidR="003F74E3" w:rsidRPr="005F4479">
        <w:rPr>
          <w:sz w:val="24"/>
        </w:rPr>
        <w:t xml:space="preserve"> vækstende</w:t>
      </w:r>
      <w:r w:rsidRPr="005F4479">
        <w:rPr>
          <w:sz w:val="24"/>
        </w:rPr>
        <w:t xml:space="preserve"> rentemarginal mellem afkastningsgrad og gældsrente på gns. 5,89%-point</w:t>
      </w:r>
      <w:r w:rsidR="003F74E3" w:rsidRPr="005F4479">
        <w:rPr>
          <w:sz w:val="24"/>
        </w:rPr>
        <w:t>, hvilket altså har affødt en stigning i egenkapitals forrentningen. Den finansielle gearing som er steget 0,56g igennem perioden har været en betydelig faktor, da NCC tjener på arbejdet med gæld og det derfor vil kunne måles i egenkapitals forrentningen, hvilket og</w:t>
      </w:r>
      <w:r w:rsidR="000C6A97">
        <w:rPr>
          <w:sz w:val="24"/>
        </w:rPr>
        <w:t>så til dels</w:t>
      </w:r>
      <w:r w:rsidR="003F74E3" w:rsidRPr="005F4479">
        <w:rPr>
          <w:sz w:val="24"/>
        </w:rPr>
        <w:t xml:space="preserve"> er årsagsansvarlig for faldet på 1,4%-point i 2013, da gearingen ligeledes faldt 0,02g og afkastningsgraden 0,33%-point. Den høje gearing er ud fra et forretningshensyn favorable, da den påvirker egenkapitals fo</w:t>
      </w:r>
      <w:r w:rsidR="000C6A97">
        <w:rPr>
          <w:sz w:val="24"/>
        </w:rPr>
        <w:t>rrentningen i positiv retning. S</w:t>
      </w:r>
      <w:r w:rsidR="003F74E3" w:rsidRPr="005F4479">
        <w:rPr>
          <w:sz w:val="24"/>
        </w:rPr>
        <w:t>et fra soliditetshensyn er virksomhedens konsolidering mangelf</w:t>
      </w:r>
      <w:r w:rsidR="00B10517" w:rsidRPr="005F4479">
        <w:rPr>
          <w:sz w:val="24"/>
        </w:rPr>
        <w:t>uld, da virksomheden ikke besidder den samme modstandsdygtighed over for tab, grundet den store andel af fremmedkapital. Egenkapitalforrentningen på 29,4% er dog væsentligt over det niveau, man som investor bør kunne forvente til den givne risiko jf. branche</w:t>
      </w:r>
      <w:r w:rsidR="00BD42D1" w:rsidRPr="005F4479">
        <w:rPr>
          <w:sz w:val="24"/>
        </w:rPr>
        <w:t xml:space="preserve"> afkast præsenteret i afsnittet om afkastningsgrad. </w:t>
      </w:r>
    </w:p>
    <w:p w:rsidR="00412C5E" w:rsidRPr="005F4479" w:rsidRDefault="00412C5E" w:rsidP="005F4479">
      <w:pPr>
        <w:spacing w:line="360" w:lineRule="auto"/>
        <w:rPr>
          <w:sz w:val="24"/>
        </w:rPr>
      </w:pPr>
    </w:p>
    <w:p w:rsidR="00412C5E" w:rsidRPr="005F4479" w:rsidRDefault="00412C5E" w:rsidP="005F4479">
      <w:pPr>
        <w:spacing w:line="360" w:lineRule="auto"/>
        <w:rPr>
          <w:sz w:val="24"/>
        </w:rPr>
      </w:pPr>
    </w:p>
    <w:p w:rsidR="00BD42D1" w:rsidRPr="005F4479" w:rsidRDefault="00BD42D1" w:rsidP="005F4479">
      <w:pPr>
        <w:spacing w:line="360" w:lineRule="auto"/>
        <w:rPr>
          <w:sz w:val="24"/>
        </w:rPr>
      </w:pPr>
      <w:r w:rsidRPr="005F4479">
        <w:rPr>
          <w:sz w:val="24"/>
        </w:rPr>
        <w:t>Koncernen har formået at udvikle en allerede rentabel forretning til det bedre i perioden 2011-2013. Afkastningsgraden er ov</w:t>
      </w:r>
      <w:r w:rsidR="00C17E97" w:rsidRPr="005F4479">
        <w:rPr>
          <w:sz w:val="24"/>
        </w:rPr>
        <w:t>erodnet set forbedret</w:t>
      </w:r>
      <w:r w:rsidRPr="005F4479">
        <w:rPr>
          <w:sz w:val="24"/>
        </w:rPr>
        <w:t xml:space="preserve"> 0,78%-point. NCC’s indtjeningsevne er for perioden blevet forbedret med 1%-point, hvilke har påvirket </w:t>
      </w:r>
      <w:r w:rsidR="00C17E97" w:rsidRPr="005F4479">
        <w:rPr>
          <w:sz w:val="24"/>
        </w:rPr>
        <w:t>afkastningsgraden i positiv retning. Samtidig har kapitaltilpasningsevnen medført en stabilisering af AG, da AOH for perioden er faldet med 0,15 g, hvilket altså vidner om virksomhedens faldende kapacitetsudnyttelse. Samtlige forhold har påvirket en vækst i egenkapitals forrentningen på 5,7%-point, herunder vækst i afkastningsgraden og derfor en forøgelse af rentemarginalen i samarbejde med et fald i gældsrenten. Desuden er gearing forøget, hvilket har bevirket en yderligere forretning grundet kon</w:t>
      </w:r>
      <w:r w:rsidR="00F46BD2">
        <w:rPr>
          <w:sz w:val="24"/>
        </w:rPr>
        <w:t>c</w:t>
      </w:r>
      <w:r w:rsidR="00C17E97" w:rsidRPr="005F4479">
        <w:rPr>
          <w:sz w:val="24"/>
        </w:rPr>
        <w:t>erne</w:t>
      </w:r>
      <w:r w:rsidR="00F46BD2">
        <w:rPr>
          <w:sz w:val="24"/>
        </w:rPr>
        <w:t>n</w:t>
      </w:r>
      <w:r w:rsidR="00C17E97" w:rsidRPr="005F4479">
        <w:rPr>
          <w:sz w:val="24"/>
        </w:rPr>
        <w:t>s</w:t>
      </w:r>
      <w:r w:rsidR="00CF691B" w:rsidRPr="005F4479">
        <w:rPr>
          <w:sz w:val="24"/>
        </w:rPr>
        <w:t xml:space="preserve"> positive rentemarginal. Derved står det klart, at virksomhedens rentabilitet for perioden 2013 har bevæget sig i positiv retning og desuden besidder tilfredsstillende niveauer for de udvalgte nøgletal. Analysen vidner om, at koncernen med fordel kan foretage en </w:t>
      </w:r>
      <w:r w:rsidR="004C0664" w:rsidRPr="005F4479">
        <w:rPr>
          <w:sz w:val="24"/>
        </w:rPr>
        <w:t xml:space="preserve">akkvisitiv </w:t>
      </w:r>
      <w:r w:rsidR="00CF691B" w:rsidRPr="005F4479">
        <w:rPr>
          <w:sz w:val="24"/>
        </w:rPr>
        <w:t>ekspansion, da den lave gældsrente muliggøre en fortjeneste på arbejdet med gæld</w:t>
      </w:r>
      <w:r w:rsidR="00F46BD2">
        <w:rPr>
          <w:sz w:val="24"/>
        </w:rPr>
        <w:t>.</w:t>
      </w:r>
    </w:p>
    <w:p w:rsidR="003F74E3" w:rsidRPr="005F4479" w:rsidRDefault="003F74E3" w:rsidP="005F4479">
      <w:pPr>
        <w:spacing w:line="360" w:lineRule="auto"/>
        <w:rPr>
          <w:sz w:val="24"/>
        </w:rPr>
      </w:pPr>
    </w:p>
    <w:p w:rsidR="003B393D" w:rsidRPr="005F4479" w:rsidRDefault="00F3000C" w:rsidP="005F4479">
      <w:pPr>
        <w:pStyle w:val="Heading4"/>
        <w:spacing w:line="360" w:lineRule="auto"/>
        <w:rPr>
          <w:i w:val="0"/>
          <w:sz w:val="24"/>
        </w:rPr>
      </w:pPr>
      <w:bookmarkStart w:id="74" w:name="_Toc411418567"/>
      <w:bookmarkStart w:id="75" w:name="_Toc411420068"/>
      <w:bookmarkStart w:id="76" w:name="_Toc411429480"/>
      <w:bookmarkStart w:id="77" w:name="_Toc411429514"/>
      <w:bookmarkStart w:id="78" w:name="_Toc411429595"/>
      <w:bookmarkStart w:id="79" w:name="_Toc411439332"/>
      <w:bookmarkStart w:id="80" w:name="_Toc411525391"/>
      <w:r w:rsidRPr="00FE4C44">
        <w:rPr>
          <w:i w:val="0"/>
          <w:sz w:val="28"/>
        </w:rPr>
        <w:lastRenderedPageBreak/>
        <w:t xml:space="preserve">5.2 </w:t>
      </w:r>
      <w:r w:rsidR="003B393D" w:rsidRPr="00FE4C44">
        <w:rPr>
          <w:i w:val="0"/>
          <w:sz w:val="28"/>
        </w:rPr>
        <w:t>Analyse af likviditet og soliditet</w:t>
      </w:r>
      <w:bookmarkEnd w:id="74"/>
      <w:bookmarkEnd w:id="75"/>
      <w:bookmarkEnd w:id="76"/>
      <w:bookmarkEnd w:id="77"/>
      <w:bookmarkEnd w:id="78"/>
      <w:bookmarkEnd w:id="79"/>
      <w:bookmarkEnd w:id="80"/>
    </w:p>
    <w:p w:rsidR="00686C0F" w:rsidRDefault="00686C0F" w:rsidP="005F4479">
      <w:pPr>
        <w:spacing w:line="360" w:lineRule="auto"/>
        <w:rPr>
          <w:b/>
          <w:sz w:val="24"/>
        </w:rPr>
      </w:pPr>
      <w:r>
        <w:rPr>
          <w:noProof/>
          <w:lang w:eastAsia="da-DK"/>
        </w:rPr>
        <w:drawing>
          <wp:inline distT="0" distB="0" distL="0" distR="0" wp14:anchorId="015F7886" wp14:editId="469F6B2B">
            <wp:extent cx="5759450" cy="8280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828040"/>
                    </a:xfrm>
                    <a:prstGeom prst="rect">
                      <a:avLst/>
                    </a:prstGeom>
                  </pic:spPr>
                </pic:pic>
              </a:graphicData>
            </a:graphic>
          </wp:inline>
        </w:drawing>
      </w:r>
    </w:p>
    <w:p w:rsidR="00686C0F" w:rsidRDefault="00686C0F" w:rsidP="005F4479">
      <w:pPr>
        <w:spacing w:line="360" w:lineRule="auto"/>
        <w:rPr>
          <w:sz w:val="24"/>
        </w:rPr>
      </w:pPr>
      <w:r>
        <w:rPr>
          <w:sz w:val="24"/>
        </w:rPr>
        <w:t>Se bilag 1 for de</w:t>
      </w:r>
      <w:r w:rsidR="00A8406F">
        <w:rPr>
          <w:sz w:val="24"/>
        </w:rPr>
        <w:t xml:space="preserve"> benyttede data og bilag 2 for oversættelser af poster fra NCCs regnskab</w:t>
      </w:r>
    </w:p>
    <w:p w:rsidR="00686C0F" w:rsidRPr="00686C0F" w:rsidRDefault="00686C0F" w:rsidP="005F4479">
      <w:pPr>
        <w:spacing w:line="360" w:lineRule="auto"/>
        <w:rPr>
          <w:sz w:val="24"/>
        </w:rPr>
      </w:pPr>
      <w:r>
        <w:rPr>
          <w:sz w:val="24"/>
        </w:rPr>
        <w:t xml:space="preserve"> </w:t>
      </w:r>
    </w:p>
    <w:p w:rsidR="003F74E3" w:rsidRPr="005F4479" w:rsidRDefault="001A654C" w:rsidP="005F4479">
      <w:pPr>
        <w:pStyle w:val="Heading5"/>
        <w:spacing w:line="360" w:lineRule="auto"/>
        <w:rPr>
          <w:b/>
        </w:rPr>
      </w:pPr>
      <w:bookmarkStart w:id="81" w:name="_Toc411420069"/>
      <w:bookmarkStart w:id="82" w:name="_Toc411429596"/>
      <w:bookmarkStart w:id="83" w:name="_Toc411439333"/>
      <w:bookmarkStart w:id="84" w:name="_Toc411525392"/>
      <w:r w:rsidRPr="005F4479">
        <w:rPr>
          <w:b/>
        </w:rPr>
        <w:t xml:space="preserve">5.2.1 </w:t>
      </w:r>
      <w:r w:rsidR="003F74E3" w:rsidRPr="005F4479">
        <w:rPr>
          <w:b/>
        </w:rPr>
        <w:t>Likviditetsgrad:</w:t>
      </w:r>
      <w:bookmarkEnd w:id="81"/>
      <w:bookmarkEnd w:id="82"/>
      <w:bookmarkEnd w:id="83"/>
      <w:bookmarkEnd w:id="84"/>
    </w:p>
    <w:p w:rsidR="008B3A1D" w:rsidRPr="005F4479" w:rsidRDefault="008B3A1D" w:rsidP="005F4479">
      <w:pPr>
        <w:spacing w:line="360" w:lineRule="auto"/>
      </w:pPr>
    </w:p>
    <w:p w:rsidR="008B3A1D" w:rsidRPr="005F4479" w:rsidRDefault="003F74E3" w:rsidP="005F4479">
      <w:pPr>
        <w:spacing w:line="360" w:lineRule="auto"/>
        <w:rPr>
          <w:sz w:val="24"/>
        </w:rPr>
      </w:pPr>
      <w:r w:rsidRPr="005F4479">
        <w:rPr>
          <w:sz w:val="24"/>
        </w:rPr>
        <w:t xml:space="preserve">NCC har overodnet præsteret en fornuftig udvikling i likviditetsgraden set </w:t>
      </w:r>
      <w:r w:rsidR="00A8406F">
        <w:rPr>
          <w:sz w:val="24"/>
        </w:rPr>
        <w:t xml:space="preserve">ud </w:t>
      </w:r>
      <w:r w:rsidRPr="005F4479">
        <w:rPr>
          <w:sz w:val="24"/>
        </w:rPr>
        <w:t>fra et likviditetshensyn fra et allerede favorabel niveau i 2011 på 156% til 162,94% i 2013, altså en stigning på 6,08%-point. Der skete dog et fald i 2013 på 6% fra 168,88% til 162,94% i 2013. Niveauet er</w:t>
      </w:r>
      <w:r w:rsidR="00200554" w:rsidRPr="005F4479">
        <w:rPr>
          <w:sz w:val="24"/>
        </w:rPr>
        <w:t xml:space="preserve"> ganske fornuftigt og ligger over hvad man som tommelfingeregel siger, at en veletableret virksomhed bør have, nemlig min. 150%.</w:t>
      </w:r>
      <w:r w:rsidR="00200554" w:rsidRPr="005F4479">
        <w:rPr>
          <w:rStyle w:val="FootnoteReference"/>
          <w:sz w:val="24"/>
        </w:rPr>
        <w:footnoteReference w:id="20"/>
      </w:r>
      <w:r w:rsidR="00200554" w:rsidRPr="005F4479">
        <w:rPr>
          <w:sz w:val="24"/>
        </w:rPr>
        <w:t xml:space="preserve"> Fra et likviditetshensyn er det derfor ganske fornuftigt, mens det fra et forretningshensyn ikke er tilfredsstillende, da likviditeten kunne være placere i andre og desuden bedre afkastmuligheder. </w:t>
      </w:r>
    </w:p>
    <w:p w:rsidR="008B3A1D" w:rsidRPr="005F4479" w:rsidRDefault="008B3A1D" w:rsidP="005F4479">
      <w:pPr>
        <w:spacing w:line="360" w:lineRule="auto"/>
        <w:rPr>
          <w:sz w:val="24"/>
        </w:rPr>
      </w:pPr>
    </w:p>
    <w:p w:rsidR="009D390A" w:rsidRPr="005F4479" w:rsidRDefault="001A654C" w:rsidP="005F4479">
      <w:pPr>
        <w:pStyle w:val="Heading5"/>
        <w:spacing w:line="360" w:lineRule="auto"/>
        <w:rPr>
          <w:b/>
        </w:rPr>
      </w:pPr>
      <w:bookmarkStart w:id="85" w:name="_Toc411420070"/>
      <w:bookmarkStart w:id="86" w:name="_Toc411429597"/>
      <w:bookmarkStart w:id="87" w:name="_Toc411439334"/>
      <w:bookmarkStart w:id="88" w:name="_Toc411525393"/>
      <w:r w:rsidRPr="005F4479">
        <w:rPr>
          <w:b/>
        </w:rPr>
        <w:t xml:space="preserve">5.2.2 </w:t>
      </w:r>
      <w:r w:rsidR="009D390A" w:rsidRPr="005F4479">
        <w:rPr>
          <w:b/>
        </w:rPr>
        <w:t>Soliditetsgrad:</w:t>
      </w:r>
      <w:bookmarkEnd w:id="85"/>
      <w:bookmarkEnd w:id="86"/>
      <w:bookmarkEnd w:id="87"/>
      <w:bookmarkEnd w:id="88"/>
    </w:p>
    <w:p w:rsidR="008B3A1D" w:rsidRPr="005F4479" w:rsidRDefault="008B3A1D" w:rsidP="005F4479">
      <w:pPr>
        <w:spacing w:line="360" w:lineRule="auto"/>
      </w:pPr>
    </w:p>
    <w:p w:rsidR="00262DEA" w:rsidRPr="005F4479" w:rsidRDefault="00200554" w:rsidP="005F4479">
      <w:pPr>
        <w:spacing w:line="360" w:lineRule="auto"/>
        <w:rPr>
          <w:sz w:val="24"/>
        </w:rPr>
      </w:pPr>
      <w:r w:rsidRPr="005F4479">
        <w:rPr>
          <w:sz w:val="24"/>
        </w:rPr>
        <w:t>Soliditetsgraden har udviklet sig neutralt for perioden 2011-2013</w:t>
      </w:r>
      <w:r w:rsidR="002C2524" w:rsidRPr="005F4479">
        <w:rPr>
          <w:sz w:val="24"/>
        </w:rPr>
        <w:t xml:space="preserve"> fra 22,39% til 22,36%</w:t>
      </w:r>
      <w:r w:rsidRPr="005F4479">
        <w:rPr>
          <w:sz w:val="24"/>
        </w:rPr>
        <w:t xml:space="preserve">. I 2012 skete der dog et mindre fald på 2,11%-point. </w:t>
      </w:r>
      <w:r w:rsidR="002C2524" w:rsidRPr="005F4479">
        <w:rPr>
          <w:sz w:val="24"/>
        </w:rPr>
        <w:t xml:space="preserve">Niveauet er lavt i forhold til </w:t>
      </w:r>
      <w:r w:rsidR="00E82F40" w:rsidRPr="005F4479">
        <w:rPr>
          <w:sz w:val="24"/>
        </w:rPr>
        <w:t>tommelfingerreglen</w:t>
      </w:r>
      <w:r w:rsidR="002C2524" w:rsidRPr="005F4479">
        <w:rPr>
          <w:sz w:val="24"/>
        </w:rPr>
        <w:t xml:space="preserve"> for etablerede virksomheder på </w:t>
      </w:r>
      <w:r w:rsidR="00E82F40" w:rsidRPr="005F4479">
        <w:rPr>
          <w:sz w:val="24"/>
        </w:rPr>
        <w:t>mindst 30-40%.</w:t>
      </w:r>
      <w:r w:rsidR="002C2524" w:rsidRPr="005F4479">
        <w:rPr>
          <w:rStyle w:val="FootnoteReference"/>
          <w:sz w:val="24"/>
        </w:rPr>
        <w:footnoteReference w:id="21"/>
      </w:r>
      <w:r w:rsidR="00E82F40" w:rsidRPr="005F4479">
        <w:rPr>
          <w:sz w:val="24"/>
        </w:rPr>
        <w:t xml:space="preserve"> Derfor er det fra et soliditetshensyn ikke tilfredsstillende, da det giver et billede af en virksomhed som ikke er så modstandsdygtig overfor tab. Fra et forretningshensyn er det dog yderst positivt, da den lave soliditet, i samarbejde med det rentable arbejde med gæld, værner om en stor egenkapitals forretning. Soliditetsgradens fald i 2012 skal findes i, at koncernen i dette år investerede forholdsmæssig summer i b.la tidligere nævnte NCC Recycling og store udvidelser </w:t>
      </w:r>
      <w:r w:rsidR="00231499" w:rsidRPr="005F4479">
        <w:rPr>
          <w:sz w:val="24"/>
        </w:rPr>
        <w:t>i henholdsvis Norge og Finland</w:t>
      </w:r>
      <w:r w:rsidR="00063291">
        <w:rPr>
          <w:sz w:val="24"/>
        </w:rPr>
        <w:t xml:space="preserve"> som altså har forøget fremmedkapitalsandelen. </w:t>
      </w:r>
    </w:p>
    <w:p w:rsidR="00231499" w:rsidRPr="005F4479" w:rsidRDefault="00231499" w:rsidP="005F4479">
      <w:pPr>
        <w:spacing w:line="360" w:lineRule="auto"/>
        <w:rPr>
          <w:sz w:val="24"/>
        </w:rPr>
      </w:pPr>
    </w:p>
    <w:p w:rsidR="00262DEA" w:rsidRPr="005F4479" w:rsidRDefault="001A654C" w:rsidP="005F4479">
      <w:pPr>
        <w:pStyle w:val="Caption"/>
        <w:spacing w:line="360" w:lineRule="auto"/>
      </w:pPr>
      <w:bookmarkStart w:id="89" w:name="_Toc411525394"/>
      <w:bookmarkStart w:id="90" w:name="_Toc411420071"/>
      <w:bookmarkStart w:id="91" w:name="_Toc411429481"/>
      <w:bookmarkStart w:id="92" w:name="_Toc411429515"/>
      <w:bookmarkStart w:id="93" w:name="_Toc411429598"/>
      <w:bookmarkStart w:id="94" w:name="_Toc411439335"/>
      <w:r w:rsidRPr="005F4479">
        <w:rPr>
          <w:rStyle w:val="Heading4Char"/>
          <w:b/>
          <w:i w:val="0"/>
          <w:sz w:val="28"/>
        </w:rPr>
        <w:t xml:space="preserve">5.3 </w:t>
      </w:r>
      <w:r w:rsidR="00262DEA" w:rsidRPr="005F4479">
        <w:rPr>
          <w:rStyle w:val="Heading4Char"/>
          <w:b/>
          <w:i w:val="0"/>
          <w:sz w:val="28"/>
        </w:rPr>
        <w:t>Analyse af pengestrømme</w:t>
      </w:r>
      <w:bookmarkEnd w:id="89"/>
      <w:r w:rsidR="00262DEA" w:rsidRPr="005F4479">
        <w:rPr>
          <w:sz w:val="28"/>
        </w:rPr>
        <w:t xml:space="preserve"> </w:t>
      </w:r>
      <w:r w:rsidRPr="005F4479">
        <w:t>(S</w:t>
      </w:r>
      <w:r w:rsidR="00A56E4F" w:rsidRPr="005F4479">
        <w:t>ek.</w:t>
      </w:r>
      <w:r w:rsidR="004F6571" w:rsidRPr="005F4479">
        <w:t xml:space="preserve"> Kr.</w:t>
      </w:r>
      <w:r w:rsidR="00A56E4F" w:rsidRPr="005F4479">
        <w:t>)</w:t>
      </w:r>
      <w:bookmarkEnd w:id="90"/>
      <w:bookmarkEnd w:id="91"/>
      <w:bookmarkEnd w:id="92"/>
      <w:bookmarkEnd w:id="93"/>
      <w:bookmarkEnd w:id="94"/>
      <w:r w:rsidR="00A56E4F" w:rsidRPr="005F4479">
        <w:t xml:space="preserve"> </w:t>
      </w:r>
    </w:p>
    <w:p w:rsidR="001A654C" w:rsidRPr="005F4479" w:rsidRDefault="001A654C" w:rsidP="005F4479">
      <w:pPr>
        <w:spacing w:line="360" w:lineRule="auto"/>
      </w:pPr>
    </w:p>
    <w:p w:rsidR="00231499" w:rsidRPr="005F4479" w:rsidRDefault="00262DEA" w:rsidP="005F4479">
      <w:pPr>
        <w:spacing w:line="360" w:lineRule="auto"/>
        <w:rPr>
          <w:sz w:val="24"/>
        </w:rPr>
      </w:pPr>
      <w:r w:rsidRPr="005F4479">
        <w:rPr>
          <w:sz w:val="24"/>
        </w:rPr>
        <w:t>Resultat før skat landede i 2013 på 2400</w:t>
      </w:r>
      <w:r w:rsidR="004F6571" w:rsidRPr="005F4479">
        <w:rPr>
          <w:sz w:val="24"/>
        </w:rPr>
        <w:t xml:space="preserve"> mio</w:t>
      </w:r>
      <w:r w:rsidRPr="005F4479">
        <w:rPr>
          <w:sz w:val="24"/>
        </w:rPr>
        <w:t>. Dette er dog ikke et udtryk for likviditetspåvirkningen, hvorfor pengestrømsopgørelsen for NCC først regulere posteringer som ikke vedrøre pengestrømmen. Herved er pengestrømme for primær drift før finansielle poster og arbejds</w:t>
      </w:r>
      <w:r w:rsidR="00A27035" w:rsidRPr="005F4479">
        <w:rPr>
          <w:sz w:val="24"/>
        </w:rPr>
        <w:t>kapital efter skat 2321 mio</w:t>
      </w:r>
      <w:r w:rsidRPr="005F4479">
        <w:rPr>
          <w:sz w:val="24"/>
        </w:rPr>
        <w:t xml:space="preserve">. </w:t>
      </w:r>
      <w:r w:rsidR="004F6571" w:rsidRPr="005F4479">
        <w:rPr>
          <w:sz w:val="24"/>
        </w:rPr>
        <w:t>Pengestrømme fra ændring i a</w:t>
      </w:r>
      <w:r w:rsidR="00990405" w:rsidRPr="005F4479">
        <w:rPr>
          <w:sz w:val="24"/>
        </w:rPr>
        <w:t>rbejdskapitalen har samlet set en positivt likviditetspåvirkning på 211</w:t>
      </w:r>
      <w:r w:rsidR="00A27035" w:rsidRPr="005F4479">
        <w:rPr>
          <w:sz w:val="24"/>
        </w:rPr>
        <w:t xml:space="preserve"> mio</w:t>
      </w:r>
      <w:r w:rsidR="00990405" w:rsidRPr="005F4479">
        <w:rPr>
          <w:sz w:val="24"/>
        </w:rPr>
        <w:t>. Af nævneværdige poster er salg af ejendomsproje</w:t>
      </w:r>
      <w:r w:rsidR="006378A3" w:rsidRPr="005F4479">
        <w:rPr>
          <w:sz w:val="24"/>
        </w:rPr>
        <w:t>kter som tilfører 4170 mio.</w:t>
      </w:r>
      <w:r w:rsidR="00990405" w:rsidRPr="005F4479">
        <w:rPr>
          <w:sz w:val="24"/>
        </w:rPr>
        <w:t xml:space="preserve"> til pengestrømme</w:t>
      </w:r>
      <w:r w:rsidR="006378A3" w:rsidRPr="005F4479">
        <w:rPr>
          <w:sz w:val="24"/>
        </w:rPr>
        <w:t>n her reinvesteres 3890 mio. i</w:t>
      </w:r>
      <w:r w:rsidR="00990405" w:rsidRPr="005F4479">
        <w:rPr>
          <w:sz w:val="24"/>
        </w:rPr>
        <w:t xml:space="preserve"> ejendo</w:t>
      </w:r>
      <w:r w:rsidR="006378A3" w:rsidRPr="005F4479">
        <w:rPr>
          <w:sz w:val="24"/>
        </w:rPr>
        <w:t>msprojekter. Salg af boligprojek</w:t>
      </w:r>
      <w:r w:rsidR="00990405" w:rsidRPr="005F4479">
        <w:rPr>
          <w:sz w:val="24"/>
        </w:rPr>
        <w:t>t tilfører 7067</w:t>
      </w:r>
      <w:r w:rsidR="006378A3" w:rsidRPr="005F4479">
        <w:rPr>
          <w:sz w:val="24"/>
        </w:rPr>
        <w:t xml:space="preserve"> mio.</w:t>
      </w:r>
      <w:r w:rsidR="00A56E4F" w:rsidRPr="005F4479">
        <w:rPr>
          <w:sz w:val="24"/>
        </w:rPr>
        <w:t xml:space="preserve">, hvorefter </w:t>
      </w:r>
      <w:r w:rsidR="00990405" w:rsidRPr="005F4479">
        <w:rPr>
          <w:sz w:val="24"/>
        </w:rPr>
        <w:t>disse reinvestere i boligprojekter for et negativt Cash flow på 7912</w:t>
      </w:r>
      <w:r w:rsidR="00A65347" w:rsidRPr="005F4479">
        <w:rPr>
          <w:sz w:val="24"/>
        </w:rPr>
        <w:t xml:space="preserve"> mio</w:t>
      </w:r>
      <w:r w:rsidR="00A56E4F" w:rsidRPr="005F4479">
        <w:rPr>
          <w:sz w:val="24"/>
        </w:rPr>
        <w:t xml:space="preserve">. </w:t>
      </w:r>
      <w:r w:rsidR="0052397F" w:rsidRPr="005F4479">
        <w:rPr>
          <w:sz w:val="24"/>
        </w:rPr>
        <w:t xml:space="preserve"> Pengestrømme fra arbejdskapitalen for 2013 har derved bevirket en, relativt til 2012, forbedret likviditetspåvirkning på </w:t>
      </w:r>
      <w:r w:rsidR="005F764A" w:rsidRPr="005F4479">
        <w:rPr>
          <w:sz w:val="24"/>
        </w:rPr>
        <w:t>2695</w:t>
      </w:r>
      <w:r w:rsidR="0052397F" w:rsidRPr="005F4479">
        <w:rPr>
          <w:sz w:val="24"/>
        </w:rPr>
        <w:t xml:space="preserve"> mio. </w:t>
      </w:r>
      <w:r w:rsidR="00917123" w:rsidRPr="005F4479">
        <w:rPr>
          <w:sz w:val="24"/>
        </w:rPr>
        <w:t>Pengestrømme fra drift</w:t>
      </w:r>
      <w:r w:rsidR="00A65347" w:rsidRPr="005F4479">
        <w:rPr>
          <w:sz w:val="24"/>
        </w:rPr>
        <w:t>s</w:t>
      </w:r>
      <w:r w:rsidR="00917123" w:rsidRPr="005F4479">
        <w:rPr>
          <w:sz w:val="24"/>
        </w:rPr>
        <w:t>aktiviteten lander derved på 2532 mio. Investeringsaktiviteten har for 2013 påvirket pengestrømmen negativt med en samlet likviditetspåvirkning på 870 mio. Af bemærkelsesværdi poster findes her kun anskaffelse af andre anlægsaktiver</w:t>
      </w:r>
      <w:r w:rsidR="00083A03" w:rsidRPr="005F4479">
        <w:rPr>
          <w:sz w:val="24"/>
        </w:rPr>
        <w:t xml:space="preserve"> på 863 mio</w:t>
      </w:r>
      <w:r w:rsidR="00917123" w:rsidRPr="005F4479">
        <w:rPr>
          <w:sz w:val="24"/>
        </w:rPr>
        <w:t xml:space="preserve"> Der er ingen note der vidner om, hvad denne likviditetspåvirkninger er et resultat</w:t>
      </w:r>
      <w:r w:rsidR="00EA775F" w:rsidRPr="005F4479">
        <w:rPr>
          <w:sz w:val="24"/>
        </w:rPr>
        <w:t xml:space="preserve"> af. Pengestrømme før </w:t>
      </w:r>
      <w:r w:rsidR="00541074" w:rsidRPr="005F4479">
        <w:rPr>
          <w:sz w:val="24"/>
        </w:rPr>
        <w:t xml:space="preserve">finansieringsaktiviteten </w:t>
      </w:r>
      <w:r w:rsidR="00A65347" w:rsidRPr="005F4479">
        <w:rPr>
          <w:sz w:val="24"/>
        </w:rPr>
        <w:t>lander</w:t>
      </w:r>
      <w:r w:rsidR="00541074" w:rsidRPr="005F4479">
        <w:rPr>
          <w:sz w:val="24"/>
        </w:rPr>
        <w:t xml:space="preserve"> derfor</w:t>
      </w:r>
      <w:r w:rsidR="00A65347" w:rsidRPr="005F4479">
        <w:rPr>
          <w:sz w:val="24"/>
        </w:rPr>
        <w:t xml:space="preserve"> på</w:t>
      </w:r>
      <w:r w:rsidR="00B07B59">
        <w:rPr>
          <w:sz w:val="24"/>
        </w:rPr>
        <w:t xml:space="preserve"> 1661 mio. Udbetalt udbytte </w:t>
      </w:r>
      <w:r w:rsidR="00137C4E">
        <w:rPr>
          <w:sz w:val="24"/>
        </w:rPr>
        <w:t>udg</w:t>
      </w:r>
      <w:r w:rsidR="00137C4E" w:rsidRPr="005F4479">
        <w:rPr>
          <w:sz w:val="24"/>
        </w:rPr>
        <w:t>øre</w:t>
      </w:r>
      <w:r w:rsidR="005610E7" w:rsidRPr="005F4479">
        <w:rPr>
          <w:sz w:val="24"/>
        </w:rPr>
        <w:t xml:space="preserve"> i finansieringsaktiviteten en mærkbar post, da det medfører en negativ likviditetspåvirkning på 1080 mio. Denne udlignes dog imidlertid af optagelse af lån for 1022 mio. Afbetaling af lån udgøre desuden 723 mio. Pengestrømme fra finansieri</w:t>
      </w:r>
      <w:r w:rsidR="00417712">
        <w:rPr>
          <w:sz w:val="24"/>
        </w:rPr>
        <w:t>ngsaktiviteten lander samlet set</w:t>
      </w:r>
      <w:r w:rsidR="005610E7" w:rsidRPr="005F4479">
        <w:rPr>
          <w:sz w:val="24"/>
        </w:rPr>
        <w:t xml:space="preserve"> på -741, hvorfor årets pengestrøm lander på 920 mio. Sammenlignet med sidste år, er årets pengestrømme 942 mio. mindre. Ændringen skal findes en betragtelig forøgelse af lån i 201</w:t>
      </w:r>
      <w:r w:rsidR="004B7F9A" w:rsidRPr="005F4479">
        <w:rPr>
          <w:sz w:val="24"/>
        </w:rPr>
        <w:t xml:space="preserve">2 på 3788 mod 1022. Derved er den likvide beholdning i ultimo 2013 3548 mio. </w:t>
      </w:r>
      <w:r w:rsidR="00231499" w:rsidRPr="005F4479">
        <w:rPr>
          <w:sz w:val="24"/>
        </w:rPr>
        <w:t xml:space="preserve">Årets pengestrømme tegner derfor et fornuftig billede af koncernen, da det værner om, at virksomheden formår at skabe en positiv pengestrøm. </w:t>
      </w:r>
    </w:p>
    <w:p w:rsidR="004B7F9A" w:rsidRPr="005F4479" w:rsidRDefault="004B7F9A" w:rsidP="005F4479">
      <w:pPr>
        <w:spacing w:line="360" w:lineRule="auto"/>
        <w:rPr>
          <w:sz w:val="24"/>
        </w:rPr>
      </w:pPr>
    </w:p>
    <w:p w:rsidR="004B7F9A" w:rsidRPr="005F4479" w:rsidRDefault="00F00B53" w:rsidP="005F4479">
      <w:pPr>
        <w:spacing w:line="360" w:lineRule="auto"/>
        <w:rPr>
          <w:sz w:val="24"/>
        </w:rPr>
      </w:pPr>
      <w:r w:rsidRPr="005F4479">
        <w:rPr>
          <w:sz w:val="24"/>
        </w:rPr>
        <w:t>Konkluderende giver den økonomiske analyse af NCC et tilfredsstillende billede af udviklingen</w:t>
      </w:r>
      <w:r w:rsidR="00137C4E">
        <w:rPr>
          <w:sz w:val="24"/>
        </w:rPr>
        <w:t xml:space="preserve"> samt niveauet i koncernen. NCC</w:t>
      </w:r>
      <w:r w:rsidRPr="005F4479">
        <w:rPr>
          <w:sz w:val="24"/>
        </w:rPr>
        <w:t>s rentabilitet har udviklet sig positivt fra et allerede tilfredsstillende niveau</w:t>
      </w:r>
      <w:r w:rsidR="00CF407F" w:rsidRPr="005F4479">
        <w:rPr>
          <w:sz w:val="24"/>
        </w:rPr>
        <w:t xml:space="preserve"> i 2011</w:t>
      </w:r>
      <w:r w:rsidRPr="005F4479">
        <w:rPr>
          <w:sz w:val="24"/>
        </w:rPr>
        <w:t xml:space="preserve">. Koncernens lave soliditetsgrad vidner imidlertid om en lav modstandsdygtighed </w:t>
      </w:r>
      <w:r w:rsidR="00713579" w:rsidRPr="005F4479">
        <w:rPr>
          <w:sz w:val="24"/>
        </w:rPr>
        <w:t>over for</w:t>
      </w:r>
      <w:r w:rsidR="0067629E" w:rsidRPr="005F4479">
        <w:rPr>
          <w:sz w:val="24"/>
        </w:rPr>
        <w:t xml:space="preserve"> tab, niveauet</w:t>
      </w:r>
      <w:r w:rsidR="00713579" w:rsidRPr="005F4479">
        <w:rPr>
          <w:sz w:val="24"/>
        </w:rPr>
        <w:t xml:space="preserve"> er dog ud fra et forretningshensyn fornuftigt</w:t>
      </w:r>
      <w:r w:rsidR="0067629E" w:rsidRPr="005F4479">
        <w:rPr>
          <w:sz w:val="24"/>
        </w:rPr>
        <w:t>,</w:t>
      </w:r>
      <w:r w:rsidR="00713579" w:rsidRPr="005F4479">
        <w:rPr>
          <w:sz w:val="24"/>
        </w:rPr>
        <w:t xml:space="preserve"> da arbejde med gæld er rentabelt og derved bevirke en positiv påvirkning af egenkapital</w:t>
      </w:r>
      <w:r w:rsidR="0067629E" w:rsidRPr="005F4479">
        <w:rPr>
          <w:sz w:val="24"/>
        </w:rPr>
        <w:t xml:space="preserve">s </w:t>
      </w:r>
      <w:r w:rsidR="00713579" w:rsidRPr="005F4479">
        <w:rPr>
          <w:sz w:val="24"/>
        </w:rPr>
        <w:t>forrent</w:t>
      </w:r>
      <w:r w:rsidR="0067629E" w:rsidRPr="005F4479">
        <w:rPr>
          <w:sz w:val="24"/>
        </w:rPr>
        <w:t>n</w:t>
      </w:r>
      <w:r w:rsidR="00713579" w:rsidRPr="005F4479">
        <w:rPr>
          <w:sz w:val="24"/>
        </w:rPr>
        <w:t xml:space="preserve">ingen. Likviditetsgraden er set </w:t>
      </w:r>
      <w:r w:rsidRPr="005F4479">
        <w:rPr>
          <w:sz w:val="24"/>
        </w:rPr>
        <w:t xml:space="preserve">ud fra et likviditetshensyn </w:t>
      </w:r>
      <w:r w:rsidR="0067629E" w:rsidRPr="005F4479">
        <w:rPr>
          <w:sz w:val="24"/>
        </w:rPr>
        <w:t>tilfredsstillende</w:t>
      </w:r>
      <w:r w:rsidR="00713579" w:rsidRPr="005F4479">
        <w:rPr>
          <w:sz w:val="24"/>
        </w:rPr>
        <w:t>, da det</w:t>
      </w:r>
      <w:r w:rsidRPr="005F4479">
        <w:rPr>
          <w:sz w:val="24"/>
        </w:rPr>
        <w:t xml:space="preserve"> vidner om koncernens</w:t>
      </w:r>
      <w:r w:rsidR="00713579" w:rsidRPr="005F4479">
        <w:rPr>
          <w:sz w:val="24"/>
        </w:rPr>
        <w:t xml:space="preserve"> fornuftige</w:t>
      </w:r>
      <w:r w:rsidRPr="005F4479">
        <w:rPr>
          <w:sz w:val="24"/>
        </w:rPr>
        <w:t xml:space="preserve"> evne til at overholde dens gældsforpligtelser. </w:t>
      </w:r>
      <w:r w:rsidR="0067629E" w:rsidRPr="005F4479">
        <w:rPr>
          <w:sz w:val="24"/>
        </w:rPr>
        <w:t xml:space="preserve">Omvendt betyder det ud fra et forretningshensyn, </w:t>
      </w:r>
      <w:r w:rsidR="0067629E" w:rsidRPr="005F4479">
        <w:rPr>
          <w:sz w:val="24"/>
        </w:rPr>
        <w:lastRenderedPageBreak/>
        <w:t>at disse kunne være placeret i bedre afkasts alternativer. Pengestrømsopgørelsen for 2013 er et udtryk for et succesfuld år, hvor 920 mio. sek. kr. er blevet tilføjet til den likvide beholdning pr. 31/12 2013. Den økonomiske analyse giver altså et billede af en rentabel koncern, som er investeringsvillig, men samtidig formår at skabe en stabil udvikling til fo</w:t>
      </w:r>
      <w:r w:rsidR="007E33F0" w:rsidRPr="005F4479">
        <w:rPr>
          <w:sz w:val="24"/>
        </w:rPr>
        <w:t xml:space="preserve">rdel for virksomhedens økonomi og aktionærer. </w:t>
      </w:r>
    </w:p>
    <w:p w:rsidR="004B5EC8" w:rsidRPr="005F4479" w:rsidRDefault="004B5EC8" w:rsidP="005F4479">
      <w:pPr>
        <w:spacing w:line="360" w:lineRule="auto"/>
        <w:rPr>
          <w:sz w:val="24"/>
        </w:rPr>
      </w:pPr>
    </w:p>
    <w:p w:rsidR="003F74E3" w:rsidRPr="005F4479" w:rsidRDefault="001A654C" w:rsidP="005F4479">
      <w:pPr>
        <w:pStyle w:val="Heading3"/>
        <w:spacing w:line="360" w:lineRule="auto"/>
        <w:rPr>
          <w:sz w:val="32"/>
        </w:rPr>
      </w:pPr>
      <w:bookmarkStart w:id="95" w:name="_Toc411418568"/>
      <w:bookmarkStart w:id="96" w:name="_Toc411419332"/>
      <w:bookmarkStart w:id="97" w:name="_Toc411420072"/>
      <w:bookmarkStart w:id="98" w:name="_Toc411421053"/>
      <w:bookmarkStart w:id="99" w:name="_Toc411429482"/>
      <w:bookmarkStart w:id="100" w:name="_Toc411429516"/>
      <w:bookmarkStart w:id="101" w:name="_Toc411429599"/>
      <w:bookmarkStart w:id="102" w:name="_Toc411435388"/>
      <w:bookmarkStart w:id="103" w:name="_Toc411437952"/>
      <w:bookmarkStart w:id="104" w:name="_Toc411439336"/>
      <w:bookmarkStart w:id="105" w:name="_Toc411525395"/>
      <w:r w:rsidRPr="005F4479">
        <w:rPr>
          <w:sz w:val="32"/>
        </w:rPr>
        <w:t xml:space="preserve">6. </w:t>
      </w:r>
      <w:r w:rsidR="00E82F40" w:rsidRPr="005F4479">
        <w:rPr>
          <w:sz w:val="32"/>
        </w:rPr>
        <w:t>Værdiansættelse af HusCompagniet.</w:t>
      </w:r>
      <w:bookmarkEnd w:id="95"/>
      <w:bookmarkEnd w:id="96"/>
      <w:bookmarkEnd w:id="97"/>
      <w:bookmarkEnd w:id="98"/>
      <w:bookmarkEnd w:id="99"/>
      <w:bookmarkEnd w:id="100"/>
      <w:bookmarkEnd w:id="101"/>
      <w:bookmarkEnd w:id="102"/>
      <w:bookmarkEnd w:id="103"/>
      <w:bookmarkEnd w:id="104"/>
      <w:bookmarkEnd w:id="105"/>
      <w:r w:rsidR="00E82F40" w:rsidRPr="005F4479">
        <w:rPr>
          <w:sz w:val="32"/>
        </w:rPr>
        <w:t xml:space="preserve"> </w:t>
      </w:r>
    </w:p>
    <w:p w:rsidR="003B393D" w:rsidRPr="005F4479" w:rsidRDefault="003B393D" w:rsidP="005F4479">
      <w:pPr>
        <w:spacing w:line="360" w:lineRule="auto"/>
        <w:rPr>
          <w:sz w:val="24"/>
        </w:rPr>
      </w:pPr>
    </w:p>
    <w:p w:rsidR="00F94A93" w:rsidRDefault="003B393D" w:rsidP="005F4479">
      <w:pPr>
        <w:spacing w:line="360" w:lineRule="auto"/>
        <w:rPr>
          <w:sz w:val="24"/>
        </w:rPr>
      </w:pPr>
      <w:r w:rsidRPr="005F4479">
        <w:rPr>
          <w:sz w:val="24"/>
        </w:rPr>
        <w:t xml:space="preserve">NCC er i høj grad investeringsvillig og dette er grunden til </w:t>
      </w:r>
      <w:r w:rsidR="0020391F" w:rsidRPr="005F4479">
        <w:rPr>
          <w:sz w:val="24"/>
        </w:rPr>
        <w:t>koncernens</w:t>
      </w:r>
      <w:r w:rsidRPr="005F4479">
        <w:rPr>
          <w:sz w:val="24"/>
        </w:rPr>
        <w:t xml:space="preserve"> succes igennem årene, da det har sikret dem en klar konkurrencemæssig fordel. NCC nævner i deres ledelsesberetn</w:t>
      </w:r>
      <w:r w:rsidR="00A52BB6" w:rsidRPr="005F4479">
        <w:rPr>
          <w:sz w:val="24"/>
        </w:rPr>
        <w:t>ing for 2013 ønsket om at ekspander</w:t>
      </w:r>
      <w:r w:rsidRPr="005F4479">
        <w:rPr>
          <w:sz w:val="24"/>
        </w:rPr>
        <w:t xml:space="preserve"> deres ”Housing Development”, herunder et ønske om at effektivisere forretningsprocesser, men også at udvide til et bredere </w:t>
      </w:r>
      <w:r w:rsidR="00137C4E">
        <w:rPr>
          <w:sz w:val="24"/>
        </w:rPr>
        <w:t>produktsortiment. NCC</w:t>
      </w:r>
      <w:r w:rsidR="008074B2" w:rsidRPr="005F4479">
        <w:rPr>
          <w:sz w:val="24"/>
        </w:rPr>
        <w:t>s datterselskab, NCC bolig, varetager på nuværende tidspunkt hovedsageligt</w:t>
      </w:r>
      <w:r w:rsidR="002F117F" w:rsidRPr="005F4479">
        <w:rPr>
          <w:sz w:val="24"/>
        </w:rPr>
        <w:t xml:space="preserve"> opførsel</w:t>
      </w:r>
      <w:r w:rsidR="008074B2" w:rsidRPr="005F4479">
        <w:rPr>
          <w:sz w:val="24"/>
        </w:rPr>
        <w:t xml:space="preserve"> af boligbyggerier og rækkehuse, hvorfor Huscompagniet </w:t>
      </w:r>
      <w:r w:rsidR="002F117F" w:rsidRPr="005F4479">
        <w:rPr>
          <w:sz w:val="24"/>
        </w:rPr>
        <w:t xml:space="preserve">med deres familiehuse, </w:t>
      </w:r>
      <w:r w:rsidR="008074B2" w:rsidRPr="005F4479">
        <w:rPr>
          <w:sz w:val="24"/>
        </w:rPr>
        <w:t xml:space="preserve">altså er en </w:t>
      </w:r>
      <w:r w:rsidR="002F117F" w:rsidRPr="005F4479">
        <w:rPr>
          <w:sz w:val="24"/>
        </w:rPr>
        <w:t>interessant</w:t>
      </w:r>
      <w:r w:rsidR="008074B2" w:rsidRPr="005F4479">
        <w:rPr>
          <w:sz w:val="24"/>
        </w:rPr>
        <w:t xml:space="preserve"> kandidat til at </w:t>
      </w:r>
      <w:r w:rsidR="002F117F" w:rsidRPr="005F4479">
        <w:rPr>
          <w:sz w:val="24"/>
        </w:rPr>
        <w:t>udvide deres ydels</w:t>
      </w:r>
      <w:r w:rsidR="008F27CA" w:rsidRPr="005F4479">
        <w:rPr>
          <w:sz w:val="24"/>
        </w:rPr>
        <w:t>espalette, desuden har</w:t>
      </w:r>
      <w:r w:rsidR="00584DD0">
        <w:rPr>
          <w:sz w:val="24"/>
        </w:rPr>
        <w:t xml:space="preserve"> NCC og Huscompagniet fornyligt </w:t>
      </w:r>
      <w:r w:rsidR="00465481" w:rsidRPr="005F4479">
        <w:rPr>
          <w:sz w:val="24"/>
        </w:rPr>
        <w:t>samarbejdet</w:t>
      </w:r>
      <w:r w:rsidR="00584DD0">
        <w:rPr>
          <w:sz w:val="24"/>
        </w:rPr>
        <w:t xml:space="preserve"> om projektet i Thorshøj</w:t>
      </w:r>
      <w:r w:rsidR="00584DD0">
        <w:rPr>
          <w:rStyle w:val="FootnoteReference"/>
          <w:sz w:val="24"/>
        </w:rPr>
        <w:footnoteReference w:id="22"/>
      </w:r>
      <w:r w:rsidR="008F27CA" w:rsidRPr="005F4479">
        <w:rPr>
          <w:sz w:val="24"/>
        </w:rPr>
        <w:t>.</w:t>
      </w:r>
      <w:r w:rsidR="00337818" w:rsidRPr="005F4479">
        <w:rPr>
          <w:sz w:val="24"/>
        </w:rPr>
        <w:t xml:space="preserve"> Det fremgår af H</w:t>
      </w:r>
      <w:r w:rsidR="005B41A1" w:rsidRPr="005F4479">
        <w:rPr>
          <w:sz w:val="24"/>
        </w:rPr>
        <w:t xml:space="preserve">uscompagniets årsrapport for 2013, at </w:t>
      </w:r>
      <w:r w:rsidR="00337818" w:rsidRPr="005F4479">
        <w:rPr>
          <w:sz w:val="24"/>
        </w:rPr>
        <w:t xml:space="preserve">FSN Capital </w:t>
      </w:r>
      <w:r w:rsidR="00501143" w:rsidRPr="005F4479">
        <w:rPr>
          <w:sz w:val="24"/>
        </w:rPr>
        <w:t>ejer 29,7% af virksomheden, hvilket giver dem 98,7%</w:t>
      </w:r>
      <w:r w:rsidR="00E90239" w:rsidRPr="005F4479">
        <w:rPr>
          <w:sz w:val="24"/>
        </w:rPr>
        <w:t xml:space="preserve"> af stemmerettighederne. FSN Capital</w:t>
      </w:r>
      <w:r w:rsidR="00501143" w:rsidRPr="005F4479">
        <w:rPr>
          <w:sz w:val="24"/>
        </w:rPr>
        <w:t xml:space="preserve"> opkøbte i primo 2011 Huscompagniet og har i den efterfølge</w:t>
      </w:r>
      <w:r w:rsidR="00C910F2">
        <w:rPr>
          <w:sz w:val="24"/>
        </w:rPr>
        <w:t xml:space="preserve">nde periode formået at tilføre </w:t>
      </w:r>
      <w:r w:rsidR="00501143" w:rsidRPr="005F4479">
        <w:rPr>
          <w:sz w:val="24"/>
        </w:rPr>
        <w:t>virksomheden en enorm værdi, hvorfor det ud fra deres synspunkt vil være et forn</w:t>
      </w:r>
      <w:r w:rsidR="004C0664" w:rsidRPr="005F4479">
        <w:rPr>
          <w:sz w:val="24"/>
        </w:rPr>
        <w:t xml:space="preserve">uftigt tidspunkt at </w:t>
      </w:r>
      <w:r w:rsidR="00B71BB6" w:rsidRPr="005F4479">
        <w:rPr>
          <w:sz w:val="24"/>
        </w:rPr>
        <w:t>sælge</w:t>
      </w:r>
      <w:r w:rsidR="00BF1D78" w:rsidRPr="005F4479">
        <w:rPr>
          <w:sz w:val="24"/>
        </w:rPr>
        <w:t>, før et eventuelt fald i væksten vil afføde en lavere værdiansættelse</w:t>
      </w:r>
      <w:r w:rsidR="00F94A93">
        <w:rPr>
          <w:sz w:val="24"/>
        </w:rPr>
        <w:t xml:space="preserve">. NCC ville kunne drive Huscompagniet med endnu større stordriftsfordele end hvad Huscompagniet alene har kunne præstere. Årsagen hertil er, at indkøb, administration, priser mm. </w:t>
      </w:r>
      <w:r w:rsidR="006B2F31">
        <w:rPr>
          <w:sz w:val="24"/>
        </w:rPr>
        <w:t xml:space="preserve">vil effektiviseres og falde i pris pga. af stordriftsfordelene. </w:t>
      </w:r>
    </w:p>
    <w:p w:rsidR="006B2F31" w:rsidRPr="005F4479" w:rsidRDefault="006B2F31" w:rsidP="005F4479">
      <w:pPr>
        <w:spacing w:line="360" w:lineRule="auto"/>
        <w:rPr>
          <w:sz w:val="24"/>
        </w:rPr>
      </w:pPr>
    </w:p>
    <w:p w:rsidR="00707F4F" w:rsidRPr="005F4479" w:rsidRDefault="004C0664" w:rsidP="005F4479">
      <w:pPr>
        <w:spacing w:line="360" w:lineRule="auto"/>
        <w:rPr>
          <w:sz w:val="24"/>
        </w:rPr>
      </w:pPr>
      <w:r w:rsidRPr="005F4479">
        <w:rPr>
          <w:sz w:val="24"/>
        </w:rPr>
        <w:t>I forbindelse med en akkvisitiv ekspansion er det nødvendigt at værdiansætte Huscompagniet</w:t>
      </w:r>
      <w:r w:rsidR="007E33F0" w:rsidRPr="005F4479">
        <w:rPr>
          <w:sz w:val="24"/>
        </w:rPr>
        <w:t>, for at få en ide om, hvor meget virksomheden i realiteten er værd</w:t>
      </w:r>
      <w:r w:rsidRPr="005F4479">
        <w:rPr>
          <w:sz w:val="24"/>
        </w:rPr>
        <w:t>. Derfor vil det følgende afsnit indeholde en værdiansættelse ud fra</w:t>
      </w:r>
      <w:r w:rsidR="007E33F0" w:rsidRPr="005F4479">
        <w:rPr>
          <w:sz w:val="24"/>
        </w:rPr>
        <w:t xml:space="preserve"> DCF-modellen som blev beskrevet i redegørelsen</w:t>
      </w:r>
      <w:r w:rsidR="00A21D32" w:rsidRPr="005F4479">
        <w:rPr>
          <w:sz w:val="24"/>
        </w:rPr>
        <w:t>, hvorved der som tidligere nævnt sker en ti</w:t>
      </w:r>
      <w:r w:rsidR="0020391F" w:rsidRPr="005F4479">
        <w:rPr>
          <w:sz w:val="24"/>
        </w:rPr>
        <w:t xml:space="preserve">lbagediskontering af det fremtidige frie </w:t>
      </w:r>
      <w:r w:rsidR="00A21D32" w:rsidRPr="005F4479">
        <w:rPr>
          <w:sz w:val="24"/>
        </w:rPr>
        <w:t>cash flow</w:t>
      </w:r>
      <w:r w:rsidRPr="005F4479">
        <w:rPr>
          <w:sz w:val="24"/>
        </w:rPr>
        <w:t>.</w:t>
      </w:r>
      <w:r w:rsidR="00A21D32" w:rsidRPr="005F4479">
        <w:rPr>
          <w:sz w:val="24"/>
        </w:rPr>
        <w:t xml:space="preserve"> </w:t>
      </w:r>
      <w:r w:rsidRPr="005F4479">
        <w:rPr>
          <w:sz w:val="24"/>
        </w:rPr>
        <w:t xml:space="preserve"> Indled</w:t>
      </w:r>
      <w:r w:rsidRPr="005F4479">
        <w:rPr>
          <w:sz w:val="24"/>
        </w:rPr>
        <w:lastRenderedPageBreak/>
        <w:t xml:space="preserve">ningsvis vil det frie cash flow for budgetperioden bestemmes og det er det </w:t>
      </w:r>
      <w:r w:rsidR="00B71BB6" w:rsidRPr="005F4479">
        <w:rPr>
          <w:sz w:val="24"/>
        </w:rPr>
        <w:t>nødvendigt</w:t>
      </w:r>
      <w:r w:rsidRPr="005F4479">
        <w:rPr>
          <w:sz w:val="24"/>
        </w:rPr>
        <w:t xml:space="preserve"> at bestemme fremtidig vækstrater i omsætning for Hu</w:t>
      </w:r>
      <w:r w:rsidR="008F27CA" w:rsidRPr="005F4479">
        <w:rPr>
          <w:sz w:val="24"/>
        </w:rPr>
        <w:t>scompagniet i budgetperioden</w:t>
      </w:r>
      <w:r w:rsidRPr="005F4479">
        <w:rPr>
          <w:sz w:val="24"/>
        </w:rPr>
        <w:t>.</w:t>
      </w:r>
      <w:r w:rsidR="000664C1" w:rsidRPr="005F4479">
        <w:rPr>
          <w:sz w:val="24"/>
        </w:rPr>
        <w:t xml:space="preserve"> Da Huscompagniet ikke har offentliggjort årsrapporten for 2014, tages der udgangspunkt i en værdiansættelse pr. 1 jan 2014, </w:t>
      </w:r>
      <w:r w:rsidR="008F27CA" w:rsidRPr="005F4479">
        <w:rPr>
          <w:sz w:val="24"/>
        </w:rPr>
        <w:t>hvorfor der derfor også 2014 vil fungere som estimat</w:t>
      </w:r>
      <w:r w:rsidR="000664C1" w:rsidRPr="005F4479">
        <w:rPr>
          <w:sz w:val="24"/>
        </w:rPr>
        <w:t xml:space="preserve">. </w:t>
      </w:r>
      <w:r w:rsidR="006060CF" w:rsidRPr="005F4479">
        <w:rPr>
          <w:sz w:val="24"/>
        </w:rPr>
        <w:t xml:space="preserve">Huscompagniets årsrapport for 2013 vil altså være grundlag for værdiansættelsen. </w:t>
      </w:r>
    </w:p>
    <w:p w:rsidR="00707F4F" w:rsidRPr="005F4479" w:rsidRDefault="004C0664" w:rsidP="005F4479">
      <w:pPr>
        <w:spacing w:line="360" w:lineRule="auto"/>
        <w:rPr>
          <w:sz w:val="24"/>
        </w:rPr>
      </w:pPr>
      <w:r w:rsidRPr="005F4479">
        <w:rPr>
          <w:sz w:val="24"/>
        </w:rPr>
        <w:t xml:space="preserve"> </w:t>
      </w:r>
    </w:p>
    <w:p w:rsidR="00707F4F" w:rsidRPr="005F4479" w:rsidRDefault="00CF321A" w:rsidP="005F4479">
      <w:pPr>
        <w:pStyle w:val="Heading4"/>
        <w:spacing w:line="360" w:lineRule="auto"/>
        <w:rPr>
          <w:i w:val="0"/>
          <w:sz w:val="24"/>
        </w:rPr>
      </w:pPr>
      <w:bookmarkStart w:id="106" w:name="_Toc411418569"/>
      <w:bookmarkStart w:id="107" w:name="_Toc411420073"/>
      <w:bookmarkStart w:id="108" w:name="_Toc411429483"/>
      <w:bookmarkStart w:id="109" w:name="_Toc411429517"/>
      <w:bookmarkStart w:id="110" w:name="_Toc411429600"/>
      <w:bookmarkStart w:id="111" w:name="_Toc411439337"/>
      <w:bookmarkStart w:id="112" w:name="_Toc411525396"/>
      <w:r w:rsidRPr="005F4479">
        <w:rPr>
          <w:i w:val="0"/>
          <w:sz w:val="24"/>
        </w:rPr>
        <w:t xml:space="preserve">6.1 </w:t>
      </w:r>
      <w:r w:rsidR="00421585" w:rsidRPr="005F4479">
        <w:rPr>
          <w:i w:val="0"/>
          <w:sz w:val="24"/>
        </w:rPr>
        <w:t>Estimering</w:t>
      </w:r>
      <w:r w:rsidR="00707F4F" w:rsidRPr="005F4479">
        <w:rPr>
          <w:i w:val="0"/>
          <w:sz w:val="24"/>
        </w:rPr>
        <w:t xml:space="preserve"> af det frie cash flow</w:t>
      </w:r>
      <w:r w:rsidR="003C7E4F" w:rsidRPr="005F4479">
        <w:rPr>
          <w:i w:val="0"/>
          <w:sz w:val="24"/>
        </w:rPr>
        <w:t xml:space="preserve"> i budgetperioden.</w:t>
      </w:r>
      <w:bookmarkEnd w:id="106"/>
      <w:bookmarkEnd w:id="107"/>
      <w:bookmarkEnd w:id="108"/>
      <w:bookmarkEnd w:id="109"/>
      <w:bookmarkEnd w:id="110"/>
      <w:bookmarkEnd w:id="111"/>
      <w:bookmarkEnd w:id="112"/>
      <w:r w:rsidR="003C7E4F" w:rsidRPr="005F4479">
        <w:rPr>
          <w:i w:val="0"/>
          <w:sz w:val="24"/>
        </w:rPr>
        <w:t xml:space="preserve"> </w:t>
      </w:r>
    </w:p>
    <w:p w:rsidR="00CF321A" w:rsidRPr="005F4479" w:rsidRDefault="00CF321A" w:rsidP="005F4479">
      <w:pPr>
        <w:spacing w:line="360" w:lineRule="auto"/>
      </w:pPr>
    </w:p>
    <w:p w:rsidR="00D0689E" w:rsidRPr="005F4479" w:rsidRDefault="00953EFB" w:rsidP="005F4479">
      <w:pPr>
        <w:spacing w:line="360" w:lineRule="auto"/>
        <w:rPr>
          <w:sz w:val="24"/>
        </w:rPr>
      </w:pPr>
      <w:r>
        <w:rPr>
          <w:sz w:val="24"/>
        </w:rPr>
        <w:t>Budgetperioden er bestemt til at vare 5 år fra 2014 til 2018, da b</w:t>
      </w:r>
      <w:r w:rsidR="00B71BB6" w:rsidRPr="005F4479">
        <w:rPr>
          <w:sz w:val="24"/>
        </w:rPr>
        <w:t>yggebranchen er yderst volatil, hvilket besværliggøre bestemmelsen af budgetperiodens omsætningsvækstrater. Disse estimeres derfor ud fra en forudsætning om, at de i ledelsesberetning for 2013 angivede informationer om ekspansion i henholdsvis Sv</w:t>
      </w:r>
      <w:r w:rsidR="00707F4F" w:rsidRPr="005F4479">
        <w:rPr>
          <w:sz w:val="24"/>
        </w:rPr>
        <w:t>erige og Tyskland og markedsudviklingen i antal påbegyndte byggerier i m2</w:t>
      </w:r>
      <w:r w:rsidR="00B71BB6" w:rsidRPr="005F4479">
        <w:rPr>
          <w:sz w:val="24"/>
        </w:rPr>
        <w:t>, hvorefter</w:t>
      </w:r>
      <w:r w:rsidR="008D618A" w:rsidRPr="005F4479">
        <w:rPr>
          <w:sz w:val="24"/>
        </w:rPr>
        <w:t xml:space="preserve"> det forventes at virksomheden bevæger sig mod et steady state, hvorfor</w:t>
      </w:r>
      <w:r w:rsidR="00B71BB6" w:rsidRPr="005F4479">
        <w:rPr>
          <w:sz w:val="24"/>
        </w:rPr>
        <w:t xml:space="preserve"> vækstraterne langsomt aftager.</w:t>
      </w:r>
      <w:r w:rsidR="00C4040C" w:rsidRPr="005F4479">
        <w:rPr>
          <w:sz w:val="24"/>
        </w:rPr>
        <w:t xml:space="preserve"> Huscompagniet har i perioden 2011-2013 </w:t>
      </w:r>
      <w:r w:rsidR="00381FDE" w:rsidRPr="005F4479">
        <w:rPr>
          <w:sz w:val="24"/>
        </w:rPr>
        <w:t xml:space="preserve">haft enorme </w:t>
      </w:r>
      <w:r w:rsidR="00C4040C" w:rsidRPr="005F4479">
        <w:rPr>
          <w:sz w:val="24"/>
        </w:rPr>
        <w:t>årlige vækstrater på gens. 16% og de afspejles derfor i vækstraterne for budgetperioden. Der forventes, at investeringen i det tyske og svenske marked først for alvor vil berøre virksomhedens omsætningsvækstrate i 2015, hvorfor 2014 altså vil afspejle den gens. Vækstrate for 2011-2013 på 16%. 2015 vil estimeres derimod til at realisere en omsætningsstigning på 18%.</w:t>
      </w:r>
      <w:r w:rsidR="00F45D6A" w:rsidRPr="005F4479">
        <w:rPr>
          <w:sz w:val="24"/>
        </w:rPr>
        <w:t xml:space="preserve"> Ydermere er antal af påbegyndte byggerier (m2) for parcelhuse og sommerhuse på det laveste niveau</w:t>
      </w:r>
      <w:r w:rsidR="004D70EA" w:rsidRPr="005F4479">
        <w:rPr>
          <w:sz w:val="24"/>
        </w:rPr>
        <w:t xml:space="preserve"> i 2014 i perioden 2007-2014</w:t>
      </w:r>
      <w:r w:rsidR="00F45D6A" w:rsidRPr="005F4479">
        <w:rPr>
          <w:sz w:val="24"/>
        </w:rPr>
        <w:t xml:space="preserve"> jf.</w:t>
      </w:r>
      <w:r w:rsidR="00C23214">
        <w:rPr>
          <w:color w:val="FF0000"/>
          <w:sz w:val="24"/>
        </w:rPr>
        <w:t xml:space="preserve"> </w:t>
      </w:r>
      <w:r w:rsidR="00C23214">
        <w:rPr>
          <w:sz w:val="24"/>
        </w:rPr>
        <w:t xml:space="preserve">bilag </w:t>
      </w:r>
      <w:r w:rsidR="00C23214" w:rsidRPr="00C23214">
        <w:rPr>
          <w:sz w:val="24"/>
        </w:rPr>
        <w:t>3</w:t>
      </w:r>
      <w:r w:rsidR="00B101C4">
        <w:rPr>
          <w:sz w:val="24"/>
        </w:rPr>
        <w:t>, hvorfor der altså er et udsigter til potentielle stigninger</w:t>
      </w:r>
      <w:r w:rsidR="00C23214">
        <w:rPr>
          <w:sz w:val="24"/>
        </w:rPr>
        <w:t xml:space="preserve">. </w:t>
      </w:r>
      <w:r w:rsidR="00170DAF" w:rsidRPr="00C23214">
        <w:rPr>
          <w:sz w:val="24"/>
        </w:rPr>
        <w:t>Renteniveauet</w:t>
      </w:r>
      <w:r w:rsidR="00170DAF" w:rsidRPr="005F4479">
        <w:rPr>
          <w:sz w:val="24"/>
        </w:rPr>
        <w:t xml:space="preserve"> på realkreditobligationer er desuden historisk lave, hvilket kunne betyde en øget efterspørgsel efter Huscompagniets huse.</w:t>
      </w:r>
      <w:r w:rsidR="00707F4F" w:rsidRPr="005F4479">
        <w:rPr>
          <w:sz w:val="24"/>
        </w:rPr>
        <w:t xml:space="preserve"> Derved må 16% siges at være en sandsynlig vækstrate i 2014 og 18% en rimelig vækstrate for 2015</w:t>
      </w:r>
      <w:r w:rsidR="00607E1E" w:rsidRPr="005F4479">
        <w:rPr>
          <w:sz w:val="24"/>
        </w:rPr>
        <w:t>. I årene efter forventes H</w:t>
      </w:r>
      <w:r w:rsidR="00170DAF" w:rsidRPr="005F4479">
        <w:rPr>
          <w:sz w:val="24"/>
        </w:rPr>
        <w:t>uscompagniet stadig at opnå en fo</w:t>
      </w:r>
      <w:r w:rsidR="008A3243" w:rsidRPr="005F4479">
        <w:rPr>
          <w:sz w:val="24"/>
        </w:rPr>
        <w:t>rnuftig kombination af en</w:t>
      </w:r>
      <w:r w:rsidR="00607E1E" w:rsidRPr="005F4479">
        <w:rPr>
          <w:sz w:val="24"/>
        </w:rPr>
        <w:t>-</w:t>
      </w:r>
      <w:r w:rsidR="008A3243" w:rsidRPr="005F4479">
        <w:rPr>
          <w:sz w:val="24"/>
        </w:rPr>
        <w:t xml:space="preserve"> og tocifrede </w:t>
      </w:r>
      <w:r w:rsidR="00390DC8" w:rsidRPr="005F4479">
        <w:rPr>
          <w:sz w:val="24"/>
        </w:rPr>
        <w:t>vækstrater</w:t>
      </w:r>
      <w:r w:rsidR="008A3243" w:rsidRPr="005F4479">
        <w:rPr>
          <w:sz w:val="24"/>
        </w:rPr>
        <w:t>, men betydeligt lavere end det tidligere præsterede niveau. Årsagen skal findes i, at det ikke forventes at være muligt at opreth</w:t>
      </w:r>
      <w:r w:rsidR="000664C1" w:rsidRPr="005F4479">
        <w:rPr>
          <w:sz w:val="24"/>
        </w:rPr>
        <w:t xml:space="preserve">olde en så stor omsætningsvækst i takt med stigningen i virksomhedens </w:t>
      </w:r>
      <w:r w:rsidR="00607E1E" w:rsidRPr="005F4479">
        <w:rPr>
          <w:sz w:val="24"/>
        </w:rPr>
        <w:t>volumen</w:t>
      </w:r>
      <w:r w:rsidR="000664C1" w:rsidRPr="005F4479">
        <w:rPr>
          <w:sz w:val="24"/>
        </w:rPr>
        <w:t xml:space="preserve">. </w:t>
      </w:r>
      <w:r w:rsidR="00C23214">
        <w:rPr>
          <w:sz w:val="24"/>
        </w:rPr>
        <w:t>Se bilag 4</w:t>
      </w:r>
      <w:r w:rsidR="0089058E" w:rsidRPr="0089058E">
        <w:rPr>
          <w:sz w:val="24"/>
        </w:rPr>
        <w:t xml:space="preserve"> for samlet oversigt over estimater for budgetperioden</w:t>
      </w:r>
    </w:p>
    <w:p w:rsidR="000664C1" w:rsidRPr="005F4479" w:rsidRDefault="000664C1" w:rsidP="005F4479">
      <w:pPr>
        <w:spacing w:line="360" w:lineRule="auto"/>
        <w:rPr>
          <w:sz w:val="24"/>
        </w:rPr>
      </w:pPr>
    </w:p>
    <w:p w:rsidR="001E22C4" w:rsidRPr="005F4479" w:rsidRDefault="0090794D" w:rsidP="005F4479">
      <w:pPr>
        <w:spacing w:line="360" w:lineRule="auto"/>
        <w:rPr>
          <w:sz w:val="24"/>
        </w:rPr>
      </w:pPr>
      <w:r w:rsidRPr="005F4479">
        <w:rPr>
          <w:sz w:val="24"/>
        </w:rPr>
        <w:t xml:space="preserve">NOPAT i </w:t>
      </w:r>
      <w:r w:rsidR="00CB68A4" w:rsidRPr="005F4479">
        <w:rPr>
          <w:sz w:val="24"/>
        </w:rPr>
        <w:t xml:space="preserve">regnskabsåret </w:t>
      </w:r>
      <w:r w:rsidRPr="005F4479">
        <w:rPr>
          <w:sz w:val="24"/>
        </w:rPr>
        <w:t xml:space="preserve">2013 danner </w:t>
      </w:r>
      <w:r w:rsidR="004D7038" w:rsidRPr="005F4479">
        <w:rPr>
          <w:sz w:val="24"/>
        </w:rPr>
        <w:t>grundlag for estimering af det FCF</w:t>
      </w:r>
      <w:r w:rsidR="00AC68A6">
        <w:rPr>
          <w:sz w:val="24"/>
        </w:rPr>
        <w:t xml:space="preserve"> i</w:t>
      </w:r>
      <w:r w:rsidRPr="005F4479">
        <w:rPr>
          <w:sz w:val="24"/>
        </w:rPr>
        <w:t xml:space="preserve"> budgetperioden og terminalperioden. NOPAT </w:t>
      </w:r>
      <w:r w:rsidR="006D52CF" w:rsidRPr="005F4479">
        <w:rPr>
          <w:sz w:val="24"/>
        </w:rPr>
        <w:t>for 2013 er beregnet ved først at finde den effektive skatteprocent,</w:t>
      </w:r>
      <w:r w:rsidR="006A3932">
        <w:rPr>
          <w:sz w:val="24"/>
        </w:rPr>
        <w:t xml:space="preserve"> altså forholdet mellem</w:t>
      </w:r>
      <w:r w:rsidR="006D52CF" w:rsidRPr="005F4479">
        <w:rPr>
          <w:sz w:val="24"/>
        </w:rPr>
        <w:t xml:space="preserve"> skat af året</w:t>
      </w:r>
      <w:r w:rsidR="002167DB" w:rsidRPr="005F4479">
        <w:rPr>
          <w:sz w:val="24"/>
        </w:rPr>
        <w:t xml:space="preserve">s resultat og resultat før skat i resultatopgørelsen for 2013. Denne procentsats ganges herefter med pengestrømme fra primær drift før finansielle poster, </w:t>
      </w:r>
      <w:r w:rsidR="002167DB" w:rsidRPr="005F4479">
        <w:rPr>
          <w:sz w:val="24"/>
        </w:rPr>
        <w:lastRenderedPageBreak/>
        <w:t>hvorefter de to poster fratrækkes og NOPAT for 2013 er estimeret.</w:t>
      </w:r>
      <w:r w:rsidR="000664C1" w:rsidRPr="005F4479">
        <w:rPr>
          <w:sz w:val="24"/>
        </w:rPr>
        <w:t xml:space="preserve"> </w:t>
      </w:r>
      <w:r w:rsidR="002167DB" w:rsidRPr="005F4479">
        <w:rPr>
          <w:sz w:val="24"/>
        </w:rPr>
        <w:t xml:space="preserve">Der </w:t>
      </w:r>
      <w:r w:rsidR="000664C1" w:rsidRPr="005F4479">
        <w:rPr>
          <w:sz w:val="24"/>
        </w:rPr>
        <w:t>forudsættes at den i 2013 bestemt NOPAT ratio, a</w:t>
      </w:r>
      <w:r w:rsidR="00421585" w:rsidRPr="005F4479">
        <w:rPr>
          <w:sz w:val="24"/>
        </w:rPr>
        <w:t>ltså forholdet mellem NOPAT og omsætningen</w:t>
      </w:r>
      <w:r w:rsidR="000664C1" w:rsidRPr="005F4479">
        <w:rPr>
          <w:sz w:val="24"/>
        </w:rPr>
        <w:t>, vil forblive uændret. Dog korrigeres der for investering Tyskland og Sverige der ifølge ledels</w:t>
      </w:r>
      <w:r w:rsidRPr="005F4479">
        <w:rPr>
          <w:sz w:val="24"/>
        </w:rPr>
        <w:t>es</w:t>
      </w:r>
      <w:r w:rsidR="000664C1" w:rsidRPr="005F4479">
        <w:rPr>
          <w:sz w:val="24"/>
        </w:rPr>
        <w:t xml:space="preserve">beretningen </w:t>
      </w:r>
      <w:r w:rsidRPr="005F4479">
        <w:rPr>
          <w:sz w:val="24"/>
        </w:rPr>
        <w:t xml:space="preserve">afføder </w:t>
      </w:r>
      <w:r w:rsidR="000664C1" w:rsidRPr="005F4479">
        <w:rPr>
          <w:sz w:val="24"/>
        </w:rPr>
        <w:t>en</w:t>
      </w:r>
      <w:r w:rsidR="00793626">
        <w:rPr>
          <w:sz w:val="24"/>
        </w:rPr>
        <w:t xml:space="preserve"> EBITDA på samme niveau som 2013</w:t>
      </w:r>
      <w:r w:rsidR="000664C1" w:rsidRPr="005F4479">
        <w:rPr>
          <w:sz w:val="24"/>
        </w:rPr>
        <w:t xml:space="preserve"> trods vækst i omsætning. Derved korrigeres der med et %-point for hele perioden, hvor</w:t>
      </w:r>
      <w:r w:rsidRPr="005F4479">
        <w:rPr>
          <w:sz w:val="24"/>
        </w:rPr>
        <w:t>for NOPAT ratio altså lander estimeres til 6,35%</w:t>
      </w:r>
      <w:r w:rsidR="00A54EFA" w:rsidRPr="005F4479">
        <w:rPr>
          <w:sz w:val="24"/>
        </w:rPr>
        <w:t xml:space="preserve">, se </w:t>
      </w:r>
      <w:r w:rsidR="00A54EFA" w:rsidRPr="00973190">
        <w:rPr>
          <w:sz w:val="24"/>
        </w:rPr>
        <w:t>bilag</w:t>
      </w:r>
      <w:r w:rsidR="00973190">
        <w:rPr>
          <w:sz w:val="24"/>
        </w:rPr>
        <w:t xml:space="preserve"> 5</w:t>
      </w:r>
      <w:r w:rsidR="00A54EFA" w:rsidRPr="005F4479">
        <w:rPr>
          <w:sz w:val="24"/>
        </w:rPr>
        <w:t xml:space="preserve"> for beregning</w:t>
      </w:r>
      <w:r w:rsidRPr="005F4479">
        <w:rPr>
          <w:sz w:val="24"/>
        </w:rPr>
        <w:t>. Ud fra den tidligere bestemte vækst i omsætning for budgetperioden 2014-2018, bestemmes herved NOPAT</w:t>
      </w:r>
      <w:r w:rsidR="003F4FC4">
        <w:rPr>
          <w:sz w:val="24"/>
        </w:rPr>
        <w:t xml:space="preserve"> i budgetperioden</w:t>
      </w:r>
      <w:r w:rsidR="00F70487">
        <w:rPr>
          <w:sz w:val="24"/>
        </w:rPr>
        <w:t xml:space="preserve"> vha. </w:t>
      </w:r>
      <w:r w:rsidRPr="005F4479">
        <w:rPr>
          <w:sz w:val="24"/>
        </w:rPr>
        <w:t xml:space="preserve">NOPAT ratio som altså ganges med omsætningen for </w:t>
      </w:r>
      <w:r w:rsidR="002167DB" w:rsidRPr="005F4479">
        <w:rPr>
          <w:sz w:val="24"/>
        </w:rPr>
        <w:t xml:space="preserve">det pågældende år i budgetperioden. NOPAT for samtlige år i budgetperioden er altså bestemt. For at nå det det frie cash flow fratrækkes </w:t>
      </w:r>
      <w:r w:rsidR="00DF7FE3" w:rsidRPr="005F4479">
        <w:rPr>
          <w:sz w:val="24"/>
        </w:rPr>
        <w:t>den estimerede nettoinvestering, hvorfor køb af materielle anlægsaktiver i pengestrømme fra 2013 udgangspunktet. For at få et retvisende årlig</w:t>
      </w:r>
      <w:r w:rsidR="00421585" w:rsidRPr="005F4479">
        <w:rPr>
          <w:sz w:val="24"/>
        </w:rPr>
        <w:t xml:space="preserve"> netto</w:t>
      </w:r>
      <w:r w:rsidR="00DF7FE3" w:rsidRPr="005F4479">
        <w:rPr>
          <w:sz w:val="24"/>
        </w:rPr>
        <w:t xml:space="preserve"> investering estimeres der en årlig vækstrate i denne post som afspejler den budgetterede</w:t>
      </w:r>
      <w:r w:rsidR="00421585" w:rsidRPr="005F4479">
        <w:rPr>
          <w:sz w:val="24"/>
        </w:rPr>
        <w:t xml:space="preserve"> omsætningsvækstrate i det pågældende år</w:t>
      </w:r>
      <w:r w:rsidR="00F70487">
        <w:rPr>
          <w:sz w:val="24"/>
        </w:rPr>
        <w:t xml:space="preserve"> (se bilag 6(</w:t>
      </w:r>
      <w:r w:rsidR="00421585" w:rsidRPr="005F4479">
        <w:rPr>
          <w:sz w:val="24"/>
        </w:rPr>
        <w:t xml:space="preserve">. Herved er FCF for budgetperioden bestemt og WACC’en skal derfor bestemmes for at nutidsværdien af budget- såvel som terminalperioden. </w:t>
      </w:r>
      <w:r w:rsidR="007C7888">
        <w:rPr>
          <w:sz w:val="24"/>
        </w:rPr>
        <w:t xml:space="preserve">Se </w:t>
      </w:r>
      <w:r w:rsidR="00BE2DBA">
        <w:rPr>
          <w:sz w:val="24"/>
        </w:rPr>
        <w:t>bilag 6</w:t>
      </w:r>
      <w:r w:rsidR="007C7888" w:rsidRPr="007C7888">
        <w:rPr>
          <w:color w:val="FF0000"/>
          <w:sz w:val="24"/>
        </w:rPr>
        <w:t xml:space="preserve"> </w:t>
      </w:r>
      <w:r w:rsidR="007C7888">
        <w:rPr>
          <w:sz w:val="24"/>
        </w:rPr>
        <w:t xml:space="preserve">for det FCF i budgetperioden. </w:t>
      </w:r>
    </w:p>
    <w:p w:rsidR="00991CD8" w:rsidRDefault="00991CD8" w:rsidP="005F4479">
      <w:pPr>
        <w:spacing w:line="360" w:lineRule="auto"/>
        <w:rPr>
          <w:sz w:val="24"/>
        </w:rPr>
      </w:pPr>
    </w:p>
    <w:p w:rsidR="007C7888" w:rsidRPr="005F4479" w:rsidRDefault="007C7888" w:rsidP="005F4479">
      <w:pPr>
        <w:spacing w:line="360" w:lineRule="auto"/>
        <w:rPr>
          <w:sz w:val="24"/>
        </w:rPr>
      </w:pPr>
    </w:p>
    <w:p w:rsidR="00991CD8" w:rsidRPr="005F4479" w:rsidRDefault="00CF321A" w:rsidP="005F4479">
      <w:pPr>
        <w:pStyle w:val="Heading4"/>
        <w:spacing w:line="360" w:lineRule="auto"/>
        <w:rPr>
          <w:i w:val="0"/>
          <w:sz w:val="24"/>
        </w:rPr>
      </w:pPr>
      <w:bookmarkStart w:id="113" w:name="_Toc411418570"/>
      <w:bookmarkStart w:id="114" w:name="_Toc411420074"/>
      <w:bookmarkStart w:id="115" w:name="_Toc411429484"/>
      <w:bookmarkStart w:id="116" w:name="_Toc411429518"/>
      <w:bookmarkStart w:id="117" w:name="_Toc411429601"/>
      <w:bookmarkStart w:id="118" w:name="_Toc411439338"/>
      <w:bookmarkStart w:id="119" w:name="_Toc411525397"/>
      <w:r w:rsidRPr="005F4479">
        <w:rPr>
          <w:i w:val="0"/>
          <w:sz w:val="24"/>
        </w:rPr>
        <w:t xml:space="preserve">6.2 </w:t>
      </w:r>
      <w:r w:rsidR="00991CD8" w:rsidRPr="005F4479">
        <w:rPr>
          <w:i w:val="0"/>
          <w:sz w:val="24"/>
        </w:rPr>
        <w:t>Estimering af WACC</w:t>
      </w:r>
      <w:r w:rsidR="00C461B7" w:rsidRPr="005F4479">
        <w:rPr>
          <w:i w:val="0"/>
          <w:sz w:val="24"/>
        </w:rPr>
        <w:t xml:space="preserve"> og diskonteringsfaktoren.</w:t>
      </w:r>
      <w:bookmarkEnd w:id="113"/>
      <w:bookmarkEnd w:id="114"/>
      <w:bookmarkEnd w:id="115"/>
      <w:bookmarkEnd w:id="116"/>
      <w:bookmarkEnd w:id="117"/>
      <w:bookmarkEnd w:id="118"/>
      <w:bookmarkEnd w:id="119"/>
    </w:p>
    <w:p w:rsidR="00991CD8" w:rsidRPr="005F4479" w:rsidRDefault="00991CD8" w:rsidP="005F4479">
      <w:pPr>
        <w:spacing w:line="360" w:lineRule="auto"/>
        <w:rPr>
          <w:b/>
          <w:color w:val="000000" w:themeColor="text1"/>
          <w:sz w:val="32"/>
        </w:rPr>
      </w:pPr>
    </w:p>
    <w:p w:rsidR="00C83428" w:rsidRPr="005F4479" w:rsidRDefault="00C83428" w:rsidP="005F4479">
      <w:pPr>
        <w:spacing w:line="360" w:lineRule="auto"/>
        <w:rPr>
          <w:color w:val="000000" w:themeColor="text1"/>
          <w:sz w:val="24"/>
        </w:rPr>
      </w:pPr>
      <w:r w:rsidRPr="005F4479">
        <w:rPr>
          <w:color w:val="000000" w:themeColor="text1"/>
          <w:sz w:val="24"/>
        </w:rPr>
        <w:t>WACC’en</w:t>
      </w:r>
      <w:r w:rsidR="00586FDC">
        <w:rPr>
          <w:color w:val="000000" w:themeColor="text1"/>
          <w:sz w:val="24"/>
        </w:rPr>
        <w:t xml:space="preserve"> er som nævnt i redegørelsen ”de</w:t>
      </w:r>
      <w:r w:rsidRPr="005F4479">
        <w:rPr>
          <w:color w:val="000000" w:themeColor="text1"/>
          <w:sz w:val="24"/>
        </w:rPr>
        <w:t xml:space="preserve"> vægtede gennemsnitlige kapitalomkostninger</w:t>
      </w:r>
      <w:r w:rsidR="00586FDC">
        <w:rPr>
          <w:color w:val="000000" w:themeColor="text1"/>
          <w:sz w:val="24"/>
        </w:rPr>
        <w:t>”</w:t>
      </w:r>
      <w:r w:rsidRPr="005F4479">
        <w:rPr>
          <w:color w:val="000000" w:themeColor="text1"/>
          <w:sz w:val="24"/>
        </w:rPr>
        <w:t xml:space="preserve">, altså </w:t>
      </w:r>
      <w:r w:rsidR="00390DC8" w:rsidRPr="005F4479">
        <w:rPr>
          <w:color w:val="000000" w:themeColor="text1"/>
          <w:sz w:val="24"/>
        </w:rPr>
        <w:t xml:space="preserve">et vægtet gennemsnit i </w:t>
      </w:r>
      <w:r w:rsidRPr="005F4479">
        <w:rPr>
          <w:color w:val="000000" w:themeColor="text1"/>
          <w:sz w:val="24"/>
        </w:rPr>
        <w:t>forholde</w:t>
      </w:r>
      <w:r w:rsidR="00390DC8" w:rsidRPr="005F4479">
        <w:rPr>
          <w:color w:val="000000" w:themeColor="text1"/>
          <w:sz w:val="24"/>
        </w:rPr>
        <w:t>t</w:t>
      </w:r>
      <w:r w:rsidRPr="005F4479">
        <w:rPr>
          <w:color w:val="000000" w:themeColor="text1"/>
          <w:sz w:val="24"/>
        </w:rPr>
        <w:t xml:space="preserve"> mellem virksomheden</w:t>
      </w:r>
      <w:r w:rsidR="00342FF3" w:rsidRPr="005F4479">
        <w:rPr>
          <w:color w:val="000000" w:themeColor="text1"/>
          <w:sz w:val="24"/>
        </w:rPr>
        <w:t>s investor- og kreditinstitutters afkast</w:t>
      </w:r>
      <w:r w:rsidRPr="005F4479">
        <w:rPr>
          <w:color w:val="000000" w:themeColor="text1"/>
          <w:sz w:val="24"/>
        </w:rPr>
        <w:t>.</w:t>
      </w:r>
      <w:r w:rsidR="00390DC8" w:rsidRPr="005F4479">
        <w:rPr>
          <w:color w:val="000000" w:themeColor="text1"/>
          <w:sz w:val="24"/>
        </w:rPr>
        <w:t xml:space="preserve"> Investors forventede afkast er en sammenhæng mellem den risikofrie rente + systematisk risiko x risiko præmie. Bogen ”Financial Statement Analysis” fra 2012 skrevet af </w:t>
      </w:r>
      <w:r w:rsidR="00C9237E" w:rsidRPr="005F4479">
        <w:rPr>
          <w:color w:val="000000" w:themeColor="text1"/>
          <w:sz w:val="24"/>
        </w:rPr>
        <w:t xml:space="preserve">Petersen m.fl. </w:t>
      </w:r>
      <w:r w:rsidR="00390DC8" w:rsidRPr="005F4479">
        <w:rPr>
          <w:color w:val="000000" w:themeColor="text1"/>
          <w:sz w:val="24"/>
        </w:rPr>
        <w:t>har lavet en analyse af en række virksomheder i byggebranchen, hvor de har estimeret det forventede afkast til at vær</w:t>
      </w:r>
      <w:r w:rsidR="006352D8">
        <w:rPr>
          <w:color w:val="000000" w:themeColor="text1"/>
          <w:sz w:val="24"/>
        </w:rPr>
        <w:t>e 9,5% ud fra et risikofrit afkast</w:t>
      </w:r>
      <w:r w:rsidR="00390DC8" w:rsidRPr="005F4479">
        <w:rPr>
          <w:color w:val="000000" w:themeColor="text1"/>
          <w:sz w:val="24"/>
        </w:rPr>
        <w:t xml:space="preserve"> på 4% som gjorde sig gældende i 2012.</w:t>
      </w:r>
      <w:r w:rsidR="0091246A" w:rsidRPr="005F4479">
        <w:rPr>
          <w:rStyle w:val="FootnoteReference"/>
          <w:color w:val="000000" w:themeColor="text1"/>
          <w:sz w:val="24"/>
        </w:rPr>
        <w:footnoteReference w:id="23"/>
      </w:r>
      <w:r w:rsidR="00390DC8" w:rsidRPr="005F4479">
        <w:rPr>
          <w:color w:val="000000" w:themeColor="text1"/>
          <w:sz w:val="24"/>
        </w:rPr>
        <w:t xml:space="preserve"> Denne skal naturligvis reguleres i forhold til de gældende risikofrie afkast på en statsobligat</w:t>
      </w:r>
      <w:r w:rsidR="002C2BDF" w:rsidRPr="005F4479">
        <w:rPr>
          <w:color w:val="000000" w:themeColor="text1"/>
          <w:sz w:val="24"/>
        </w:rPr>
        <w:t>ion som i primo 2014 udgjorde 1,71%</w:t>
      </w:r>
      <w:r w:rsidR="002C2BDF" w:rsidRPr="005F4479">
        <w:rPr>
          <w:rStyle w:val="FootnoteReference"/>
          <w:color w:val="000000" w:themeColor="text1"/>
          <w:sz w:val="24"/>
        </w:rPr>
        <w:footnoteReference w:id="24"/>
      </w:r>
      <w:r w:rsidR="00390DC8" w:rsidRPr="005F4479">
        <w:rPr>
          <w:color w:val="000000" w:themeColor="text1"/>
          <w:sz w:val="24"/>
        </w:rPr>
        <w:t xml:space="preserve">, hvorfor </w:t>
      </w:r>
      <w:r w:rsidR="002C2BDF" w:rsidRPr="005F4479">
        <w:rPr>
          <w:color w:val="000000" w:themeColor="text1"/>
          <w:sz w:val="24"/>
        </w:rPr>
        <w:t>9,5% altså korrigeres til 7,21%.</w:t>
      </w:r>
    </w:p>
    <w:p w:rsidR="00C9237E" w:rsidRPr="005F4479" w:rsidRDefault="00C9237E" w:rsidP="005F4479">
      <w:pPr>
        <w:spacing w:line="360" w:lineRule="auto"/>
        <w:rPr>
          <w:color w:val="000000" w:themeColor="text1"/>
          <w:sz w:val="24"/>
        </w:rPr>
      </w:pPr>
    </w:p>
    <w:p w:rsidR="00C461B7" w:rsidRPr="005F4479" w:rsidRDefault="00E7007E" w:rsidP="005F4479">
      <w:pPr>
        <w:spacing w:line="360" w:lineRule="auto"/>
        <w:rPr>
          <w:color w:val="000000" w:themeColor="text1"/>
          <w:sz w:val="24"/>
        </w:rPr>
      </w:pPr>
      <w:r w:rsidRPr="005F4479">
        <w:rPr>
          <w:color w:val="000000" w:themeColor="text1"/>
          <w:sz w:val="24"/>
        </w:rPr>
        <w:lastRenderedPageBreak/>
        <w:t>Kapitalomkostningerne for den renteb</w:t>
      </w:r>
      <w:r w:rsidR="00DF759B" w:rsidRPr="005F4479">
        <w:rPr>
          <w:color w:val="000000" w:themeColor="text1"/>
          <w:sz w:val="24"/>
        </w:rPr>
        <w:t>ærende gæld findes i note 5</w:t>
      </w:r>
      <w:r w:rsidRPr="005F4479">
        <w:rPr>
          <w:color w:val="000000" w:themeColor="text1"/>
          <w:sz w:val="24"/>
        </w:rPr>
        <w:t xml:space="preserve"> for finansielle omkostninger under posten ”andre finansielle omkostninger”</w:t>
      </w:r>
      <w:r w:rsidR="0091246A" w:rsidRPr="005F4479">
        <w:rPr>
          <w:color w:val="000000" w:themeColor="text1"/>
          <w:sz w:val="24"/>
        </w:rPr>
        <w:t>. Forholdet mellem denne og den rentebærende gæld</w:t>
      </w:r>
      <w:r w:rsidR="00352C14" w:rsidRPr="005F4479">
        <w:rPr>
          <w:rStyle w:val="FootnoteReference"/>
          <w:color w:val="000000" w:themeColor="text1"/>
          <w:sz w:val="24"/>
        </w:rPr>
        <w:footnoteReference w:id="25"/>
      </w:r>
      <w:r w:rsidR="0091246A" w:rsidRPr="005F4479">
        <w:rPr>
          <w:color w:val="000000" w:themeColor="text1"/>
          <w:sz w:val="24"/>
        </w:rPr>
        <w:t xml:space="preserve"> er således 1,36%.</w:t>
      </w:r>
      <w:r w:rsidR="00342FF3" w:rsidRPr="005F4479">
        <w:rPr>
          <w:color w:val="000000" w:themeColor="text1"/>
          <w:sz w:val="24"/>
        </w:rPr>
        <w:t xml:space="preserve"> Selskabskatten var i 2014 24,5%</w:t>
      </w:r>
      <w:r w:rsidR="00342FF3" w:rsidRPr="005F4479">
        <w:rPr>
          <w:rStyle w:val="FootnoteReference"/>
          <w:color w:val="000000" w:themeColor="text1"/>
          <w:sz w:val="24"/>
        </w:rPr>
        <w:footnoteReference w:id="26"/>
      </w:r>
      <w:r w:rsidR="00342FF3" w:rsidRPr="005F4479">
        <w:rPr>
          <w:color w:val="000000" w:themeColor="text1"/>
          <w:sz w:val="24"/>
        </w:rPr>
        <w:t>, hvorfor de</w:t>
      </w:r>
      <w:r w:rsidR="00C461B7" w:rsidRPr="005F4479">
        <w:rPr>
          <w:color w:val="000000" w:themeColor="text1"/>
          <w:sz w:val="24"/>
        </w:rPr>
        <w:t>tte vil den procentsats som fungere som tax-shield.</w:t>
      </w:r>
      <w:r w:rsidR="002C2BDF" w:rsidRPr="005F4479">
        <w:rPr>
          <w:color w:val="000000" w:themeColor="text1"/>
          <w:sz w:val="24"/>
        </w:rPr>
        <w:t xml:space="preserve"> Ved brug af den i redegørelsen definerede formel, er WACC</w:t>
      </w:r>
      <w:r w:rsidR="002B09AF" w:rsidRPr="005F4479">
        <w:rPr>
          <w:color w:val="000000" w:themeColor="text1"/>
          <w:sz w:val="24"/>
        </w:rPr>
        <w:t>’</w:t>
      </w:r>
      <w:r w:rsidR="008B1A73" w:rsidRPr="005F4479">
        <w:rPr>
          <w:color w:val="000000" w:themeColor="text1"/>
          <w:sz w:val="24"/>
        </w:rPr>
        <w:t>en beregnet til 6,06</w:t>
      </w:r>
      <w:r w:rsidR="002C2BDF" w:rsidRPr="005F4479">
        <w:rPr>
          <w:color w:val="000000" w:themeColor="text1"/>
          <w:sz w:val="24"/>
        </w:rPr>
        <w:t>%.</w:t>
      </w:r>
    </w:p>
    <w:p w:rsidR="005A4F38" w:rsidRPr="005F4479" w:rsidRDefault="005A4F38" w:rsidP="005F4479">
      <w:pPr>
        <w:spacing w:line="360" w:lineRule="auto"/>
        <w:rPr>
          <w:color w:val="000000" w:themeColor="text1"/>
          <w:sz w:val="24"/>
        </w:rPr>
      </w:pPr>
      <w:r w:rsidRPr="005F4479">
        <w:rPr>
          <w:noProof/>
          <w:lang w:eastAsia="da-DK"/>
        </w:rPr>
        <w:drawing>
          <wp:inline distT="0" distB="0" distL="0" distR="0" wp14:anchorId="6CDF3D31" wp14:editId="4B3B6DAC">
            <wp:extent cx="4257675" cy="153783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3475" cy="1543540"/>
                    </a:xfrm>
                    <a:prstGeom prst="rect">
                      <a:avLst/>
                    </a:prstGeom>
                  </pic:spPr>
                </pic:pic>
              </a:graphicData>
            </a:graphic>
          </wp:inline>
        </w:drawing>
      </w:r>
    </w:p>
    <w:p w:rsidR="003C7E4F" w:rsidRPr="005F4479" w:rsidRDefault="00C461B7" w:rsidP="005F4479">
      <w:pPr>
        <w:spacing w:line="360" w:lineRule="auto"/>
        <w:rPr>
          <w:color w:val="000000" w:themeColor="text1"/>
          <w:sz w:val="24"/>
        </w:rPr>
      </w:pPr>
      <w:r w:rsidRPr="005F4479">
        <w:rPr>
          <w:color w:val="000000" w:themeColor="text1"/>
          <w:sz w:val="24"/>
        </w:rPr>
        <w:t xml:space="preserve"> </w:t>
      </w:r>
      <w:r w:rsidRPr="005F4479">
        <w:rPr>
          <w:color w:val="000000" w:themeColor="text1"/>
          <w:sz w:val="24"/>
        </w:rPr>
        <w:br/>
        <w:t>Diskonteringsfaktoren kan nu bestemmes ved at benytte ”renteformelen”</w:t>
      </w:r>
      <w:r w:rsidR="003C7E4F" w:rsidRPr="005F4479">
        <w:rPr>
          <w:color w:val="000000" w:themeColor="text1"/>
          <w:sz w:val="24"/>
        </w:rPr>
        <w:t xml:space="preserve"> </w:t>
      </w:r>
      <w:r w:rsidR="003C7E4F" w:rsidRPr="005F4479">
        <w:rPr>
          <w:sz w:val="24"/>
        </w:rPr>
        <w:t>(1+r)</w:t>
      </w:r>
      <w:r w:rsidR="003C7E4F" w:rsidRPr="005F4479">
        <w:rPr>
          <w:sz w:val="24"/>
          <w:vertAlign w:val="superscript"/>
        </w:rPr>
        <w:t>-n</w:t>
      </w:r>
      <w:r w:rsidR="003C7E4F" w:rsidRPr="005F4479">
        <w:rPr>
          <w:color w:val="000000" w:themeColor="text1"/>
          <w:sz w:val="24"/>
        </w:rPr>
        <w:t>, hvor r er et udtryk for WACC’en og n er antal år efter 2013.</w:t>
      </w:r>
      <w:r w:rsidRPr="005F4479">
        <w:rPr>
          <w:color w:val="000000" w:themeColor="text1"/>
          <w:sz w:val="24"/>
        </w:rPr>
        <w:t xml:space="preserve"> Således </w:t>
      </w:r>
      <w:r w:rsidR="003C7E4F" w:rsidRPr="005F4479">
        <w:rPr>
          <w:color w:val="000000" w:themeColor="text1"/>
          <w:sz w:val="24"/>
        </w:rPr>
        <w:t>er diskonteringsfaktoren fundet fo</w:t>
      </w:r>
      <w:r w:rsidR="00927424" w:rsidRPr="005F4479">
        <w:rPr>
          <w:color w:val="000000" w:themeColor="text1"/>
          <w:sz w:val="24"/>
        </w:rPr>
        <w:t>r samtlige år i budgetperioden.</w:t>
      </w:r>
    </w:p>
    <w:p w:rsidR="00927424" w:rsidRPr="005F4479" w:rsidRDefault="00927424" w:rsidP="005F4479">
      <w:pPr>
        <w:spacing w:line="360" w:lineRule="auto"/>
        <w:rPr>
          <w:color w:val="000000" w:themeColor="text1"/>
          <w:sz w:val="24"/>
        </w:rPr>
      </w:pPr>
      <w:r w:rsidRPr="005F4479">
        <w:rPr>
          <w:noProof/>
          <w:lang w:eastAsia="da-DK"/>
        </w:rPr>
        <w:drawing>
          <wp:inline distT="0" distB="0" distL="0" distR="0" wp14:anchorId="41EB367A" wp14:editId="7795BBBC">
            <wp:extent cx="5759450" cy="32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326390"/>
                    </a:xfrm>
                    <a:prstGeom prst="rect">
                      <a:avLst/>
                    </a:prstGeom>
                  </pic:spPr>
                </pic:pic>
              </a:graphicData>
            </a:graphic>
          </wp:inline>
        </w:drawing>
      </w:r>
    </w:p>
    <w:p w:rsidR="003C7E4F" w:rsidRPr="005F4479" w:rsidRDefault="003C7E4F" w:rsidP="005F4479">
      <w:pPr>
        <w:spacing w:line="360" w:lineRule="auto"/>
        <w:rPr>
          <w:color w:val="000000" w:themeColor="text1"/>
          <w:sz w:val="24"/>
        </w:rPr>
      </w:pPr>
    </w:p>
    <w:p w:rsidR="003C7E4F" w:rsidRPr="005F4479" w:rsidRDefault="00CF321A" w:rsidP="005F4479">
      <w:pPr>
        <w:pStyle w:val="Heading4"/>
        <w:spacing w:line="360" w:lineRule="auto"/>
        <w:rPr>
          <w:i w:val="0"/>
          <w:sz w:val="24"/>
        </w:rPr>
      </w:pPr>
      <w:bookmarkStart w:id="120" w:name="_Toc411418571"/>
      <w:bookmarkStart w:id="121" w:name="_Toc411420075"/>
      <w:bookmarkStart w:id="122" w:name="_Toc411429485"/>
      <w:bookmarkStart w:id="123" w:name="_Toc411429519"/>
      <w:bookmarkStart w:id="124" w:name="_Toc411429602"/>
      <w:bookmarkStart w:id="125" w:name="_Toc411439339"/>
      <w:bookmarkStart w:id="126" w:name="_Toc411525398"/>
      <w:r w:rsidRPr="005F4479">
        <w:rPr>
          <w:i w:val="0"/>
          <w:sz w:val="24"/>
        </w:rPr>
        <w:t xml:space="preserve">6.3 </w:t>
      </w:r>
      <w:r w:rsidR="003C7E4F" w:rsidRPr="005F4479">
        <w:rPr>
          <w:i w:val="0"/>
          <w:sz w:val="24"/>
        </w:rPr>
        <w:t>Estimering af nutidsværdi for budget- og terminalperioden.</w:t>
      </w:r>
      <w:bookmarkEnd w:id="120"/>
      <w:bookmarkEnd w:id="121"/>
      <w:bookmarkEnd w:id="122"/>
      <w:bookmarkEnd w:id="123"/>
      <w:bookmarkEnd w:id="124"/>
      <w:bookmarkEnd w:id="125"/>
      <w:bookmarkEnd w:id="126"/>
      <w:r w:rsidR="003C7E4F" w:rsidRPr="005F4479">
        <w:rPr>
          <w:i w:val="0"/>
          <w:sz w:val="24"/>
        </w:rPr>
        <w:t xml:space="preserve"> </w:t>
      </w:r>
    </w:p>
    <w:p w:rsidR="00C461B7" w:rsidRPr="005F4479" w:rsidRDefault="00C461B7" w:rsidP="005F4479">
      <w:pPr>
        <w:spacing w:line="360" w:lineRule="auto"/>
        <w:rPr>
          <w:color w:val="000000" w:themeColor="text1"/>
          <w:sz w:val="24"/>
        </w:rPr>
      </w:pPr>
    </w:p>
    <w:p w:rsidR="00886D90" w:rsidRPr="005F4479" w:rsidRDefault="003C7E4F" w:rsidP="005F4479">
      <w:pPr>
        <w:spacing w:line="360" w:lineRule="auto"/>
        <w:rPr>
          <w:color w:val="000000" w:themeColor="text1"/>
          <w:sz w:val="24"/>
        </w:rPr>
      </w:pPr>
      <w:r w:rsidRPr="005F4479">
        <w:rPr>
          <w:color w:val="000000" w:themeColor="text1"/>
          <w:sz w:val="24"/>
        </w:rPr>
        <w:t>Nutidsværdien af budgetperioden findes vha. af tidligere bestemte diskonteringsfaktor som benyttes til tilbagediskontere til år 0</w:t>
      </w:r>
      <w:r w:rsidR="00E83DBE" w:rsidRPr="005F4479">
        <w:rPr>
          <w:color w:val="000000" w:themeColor="text1"/>
          <w:sz w:val="24"/>
        </w:rPr>
        <w:t>,</w:t>
      </w:r>
      <w:r w:rsidRPr="005F4479">
        <w:rPr>
          <w:color w:val="000000" w:themeColor="text1"/>
          <w:sz w:val="24"/>
        </w:rPr>
        <w:t xml:space="preserve"> altså 1. jan 2014. Den summerede værdi af samtlige tilbagediskonterede år lander herved på </w:t>
      </w:r>
      <w:r w:rsidR="007C7888">
        <w:rPr>
          <w:color w:val="000000" w:themeColor="text1"/>
          <w:sz w:val="24"/>
        </w:rPr>
        <w:t>600.800 t.kr:</w:t>
      </w:r>
    </w:p>
    <w:p w:rsidR="00E669A7" w:rsidRPr="005F4479" w:rsidRDefault="00E669A7" w:rsidP="005F4479">
      <w:pPr>
        <w:spacing w:line="360" w:lineRule="auto"/>
        <w:rPr>
          <w:color w:val="000000" w:themeColor="text1"/>
          <w:sz w:val="24"/>
        </w:rPr>
      </w:pPr>
      <w:r w:rsidRPr="005F4479">
        <w:rPr>
          <w:color w:val="000000" w:themeColor="text1"/>
          <w:sz w:val="24"/>
        </w:rPr>
        <w:t>t.kr</w:t>
      </w:r>
    </w:p>
    <w:p w:rsidR="00C9237E" w:rsidRDefault="00AC363D" w:rsidP="005F4479">
      <w:pPr>
        <w:spacing w:line="360" w:lineRule="auto"/>
        <w:rPr>
          <w:color w:val="000000" w:themeColor="text1"/>
          <w:sz w:val="24"/>
        </w:rPr>
      </w:pPr>
      <w:r w:rsidRPr="005F4479">
        <w:rPr>
          <w:noProof/>
          <w:lang w:eastAsia="da-DK"/>
        </w:rPr>
        <w:lastRenderedPageBreak/>
        <w:drawing>
          <wp:inline distT="0" distB="0" distL="0" distR="0" wp14:anchorId="46501E32" wp14:editId="0AA34A98">
            <wp:extent cx="5759450" cy="9436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943610"/>
                    </a:xfrm>
                    <a:prstGeom prst="rect">
                      <a:avLst/>
                    </a:prstGeom>
                  </pic:spPr>
                </pic:pic>
              </a:graphicData>
            </a:graphic>
          </wp:inline>
        </w:drawing>
      </w:r>
      <w:r w:rsidR="003C7E4F" w:rsidRPr="005F4479">
        <w:rPr>
          <w:color w:val="000000" w:themeColor="text1"/>
          <w:sz w:val="24"/>
        </w:rPr>
        <w:br/>
        <w:t>Tilbage er der at bestemme nutidsværdien for terminalperioden</w:t>
      </w:r>
      <w:r w:rsidR="005A4F38" w:rsidRPr="005F4479">
        <w:rPr>
          <w:color w:val="000000" w:themeColor="text1"/>
          <w:sz w:val="24"/>
        </w:rPr>
        <w:t xml:space="preserve"> (tp)</w:t>
      </w:r>
      <w:r w:rsidR="003C7E4F" w:rsidRPr="005F4479">
        <w:rPr>
          <w:color w:val="000000" w:themeColor="text1"/>
          <w:sz w:val="24"/>
        </w:rPr>
        <w:t xml:space="preserve">. </w:t>
      </w:r>
      <w:r w:rsidR="005A4F38" w:rsidRPr="005F4479">
        <w:rPr>
          <w:color w:val="000000" w:themeColor="text1"/>
          <w:sz w:val="24"/>
        </w:rPr>
        <w:t>Det frie cash flow</w:t>
      </w:r>
      <w:r w:rsidR="00E83DBE" w:rsidRPr="005F4479">
        <w:rPr>
          <w:color w:val="000000" w:themeColor="text1"/>
          <w:sz w:val="24"/>
        </w:rPr>
        <w:t xml:space="preserve"> for tp</w:t>
      </w:r>
      <w:r w:rsidR="005A4F38" w:rsidRPr="005F4479">
        <w:rPr>
          <w:color w:val="000000" w:themeColor="text1"/>
          <w:sz w:val="24"/>
        </w:rPr>
        <w:t xml:space="preserve"> må derfor indledningsvis bestemmes, før en samlet tilbagediskontering </w:t>
      </w:r>
      <w:r w:rsidR="000A7C4D" w:rsidRPr="005F4479">
        <w:rPr>
          <w:color w:val="000000" w:themeColor="text1"/>
          <w:sz w:val="24"/>
        </w:rPr>
        <w:t xml:space="preserve">af </w:t>
      </w:r>
      <w:r w:rsidR="005A4F38" w:rsidRPr="005F4479">
        <w:rPr>
          <w:color w:val="000000" w:themeColor="text1"/>
          <w:sz w:val="24"/>
        </w:rPr>
        <w:t>tp kan finde sted</w:t>
      </w:r>
      <w:r w:rsidR="00DA1A3B" w:rsidRPr="005F4479">
        <w:rPr>
          <w:color w:val="000000" w:themeColor="text1"/>
          <w:sz w:val="24"/>
        </w:rPr>
        <w:t>. Hvis ikke denne medregnes ville der forudsættes, at virksomheden stoppede driften efter budgetperioden som i dette tilfælde er 5 år.</w:t>
      </w:r>
      <w:r w:rsidR="00AD31B0" w:rsidRPr="005F4479">
        <w:rPr>
          <w:color w:val="000000" w:themeColor="text1"/>
          <w:sz w:val="24"/>
        </w:rPr>
        <w:t xml:space="preserve"> For terminalperioden</w:t>
      </w:r>
      <w:r w:rsidR="00886D90" w:rsidRPr="005F4479">
        <w:rPr>
          <w:color w:val="000000" w:themeColor="text1"/>
          <w:sz w:val="24"/>
        </w:rPr>
        <w:t xml:space="preserve"> forudsættes en vækst i al evighed på 2%. Denne er danne</w:t>
      </w:r>
      <w:r w:rsidR="004D480A" w:rsidRPr="005F4479">
        <w:rPr>
          <w:color w:val="000000" w:themeColor="text1"/>
          <w:sz w:val="24"/>
        </w:rPr>
        <w:t>t</w:t>
      </w:r>
      <w:r w:rsidR="00886D90" w:rsidRPr="005F4479">
        <w:rPr>
          <w:color w:val="000000" w:themeColor="text1"/>
          <w:sz w:val="24"/>
        </w:rPr>
        <w:t xml:space="preserve"> ud</w:t>
      </w:r>
      <w:r w:rsidR="000F4BEC" w:rsidRPr="005F4479">
        <w:rPr>
          <w:color w:val="000000" w:themeColor="text1"/>
          <w:sz w:val="24"/>
        </w:rPr>
        <w:t xml:space="preserve"> fra en forudsætning om, at Hus</w:t>
      </w:r>
      <w:r w:rsidR="00886D90" w:rsidRPr="005F4479">
        <w:rPr>
          <w:color w:val="000000" w:themeColor="text1"/>
          <w:sz w:val="24"/>
        </w:rPr>
        <w:t>compagniet</w:t>
      </w:r>
      <w:r w:rsidR="000F4BEC" w:rsidRPr="005F4479">
        <w:rPr>
          <w:color w:val="000000" w:themeColor="text1"/>
          <w:sz w:val="24"/>
        </w:rPr>
        <w:t xml:space="preserve"> ikke har mulighed for at vokse</w:t>
      </w:r>
      <w:r w:rsidR="00886D90" w:rsidRPr="005F4479">
        <w:rPr>
          <w:color w:val="000000" w:themeColor="text1"/>
          <w:sz w:val="24"/>
        </w:rPr>
        <w:t xml:space="preserve"> med de nuværende 2-cifrede vækstrate, da markedet </w:t>
      </w:r>
      <w:r w:rsidR="000F4BEC" w:rsidRPr="005F4479">
        <w:rPr>
          <w:color w:val="000000" w:themeColor="text1"/>
          <w:sz w:val="24"/>
        </w:rPr>
        <w:t xml:space="preserve">som tidligere nævnt er volatilt </w:t>
      </w:r>
      <w:r w:rsidR="00886D90" w:rsidRPr="005F4479">
        <w:rPr>
          <w:color w:val="000000" w:themeColor="text1"/>
          <w:sz w:val="24"/>
        </w:rPr>
        <w:t xml:space="preserve">og </w:t>
      </w:r>
      <w:r w:rsidR="004D480A" w:rsidRPr="005F4479">
        <w:rPr>
          <w:color w:val="000000" w:themeColor="text1"/>
          <w:sz w:val="24"/>
        </w:rPr>
        <w:t>derfor følger konjunktu</w:t>
      </w:r>
      <w:r w:rsidR="000F4BEC" w:rsidRPr="005F4479">
        <w:rPr>
          <w:color w:val="000000" w:themeColor="text1"/>
          <w:sz w:val="24"/>
        </w:rPr>
        <w:t>r</w:t>
      </w:r>
      <w:r w:rsidR="004D480A" w:rsidRPr="005F4479">
        <w:rPr>
          <w:color w:val="000000" w:themeColor="text1"/>
          <w:sz w:val="24"/>
        </w:rPr>
        <w:t>svingninger</w:t>
      </w:r>
      <w:r w:rsidR="000F4BEC" w:rsidRPr="005F4479">
        <w:rPr>
          <w:color w:val="000000" w:themeColor="text1"/>
          <w:sz w:val="24"/>
        </w:rPr>
        <w:t xml:space="preserve"> tæt. Kriser vil derfor have en stor indvirkning på</w:t>
      </w:r>
      <w:r w:rsidR="004D480A" w:rsidRPr="005F4479">
        <w:rPr>
          <w:color w:val="000000" w:themeColor="text1"/>
          <w:sz w:val="24"/>
        </w:rPr>
        <w:t xml:space="preserve"> efterspørgslen efter parcel- og sommerhuse og derved også Huscompagniet</w:t>
      </w:r>
      <w:r w:rsidR="000F4BEC" w:rsidRPr="005F4479">
        <w:rPr>
          <w:color w:val="000000" w:themeColor="text1"/>
          <w:sz w:val="24"/>
        </w:rPr>
        <w:t>. Desuden vil virksomheden nå en kritisk masse, hvor den procentuelle vækst vil udgøre en stadig mindre del, trods en stor vækst i reelle tal. Det forudsættes derfor, at Huscompagniet i de kommende år vil formået at mætte markedet og forøget sin nuværende markedsandel på 23-30%</w:t>
      </w:r>
      <w:r w:rsidR="000F4BEC" w:rsidRPr="005F4479">
        <w:rPr>
          <w:rStyle w:val="FootnoteReference"/>
          <w:color w:val="000000" w:themeColor="text1"/>
          <w:sz w:val="24"/>
        </w:rPr>
        <w:footnoteReference w:id="27"/>
      </w:r>
      <w:r w:rsidR="000F4BEC" w:rsidRPr="005F4479">
        <w:rPr>
          <w:color w:val="000000" w:themeColor="text1"/>
          <w:sz w:val="24"/>
        </w:rPr>
        <w:t xml:space="preserve"> betragteligt. </w:t>
      </w:r>
      <w:r w:rsidR="008E04A2" w:rsidRPr="005F4479">
        <w:rPr>
          <w:color w:val="000000" w:themeColor="text1"/>
          <w:sz w:val="24"/>
        </w:rPr>
        <w:t xml:space="preserve">Det frie cash flow i terminalperioden er derfor beregnet til at </w:t>
      </w:r>
      <w:r w:rsidR="00824212" w:rsidRPr="005F4479">
        <w:rPr>
          <w:color w:val="000000" w:themeColor="text1"/>
          <w:sz w:val="24"/>
        </w:rPr>
        <w:t>udgøre</w:t>
      </w:r>
      <w:r w:rsidR="008E04A2" w:rsidRPr="005F4479">
        <w:rPr>
          <w:color w:val="000000" w:themeColor="text1"/>
          <w:sz w:val="24"/>
        </w:rPr>
        <w:t xml:space="preserve"> </w:t>
      </w:r>
      <w:r w:rsidR="0058061B" w:rsidRPr="005F4479">
        <w:rPr>
          <w:color w:val="000000" w:themeColor="text1"/>
          <w:sz w:val="24"/>
        </w:rPr>
        <w:t xml:space="preserve">4.404.039 t.kr., hvorefter det tilbagediskonteres for at finde nutidsværdien. Dette gøres vha. af diskonteringsfaktoren for E 2018, da det er det sidste budgetterede år i DCF-modellen </w:t>
      </w:r>
      <w:r w:rsidR="00194E28" w:rsidRPr="005F4479">
        <w:rPr>
          <w:color w:val="000000" w:themeColor="text1"/>
          <w:sz w:val="24"/>
        </w:rPr>
        <w:t>og da det ikke er muligt at give et fornuftigt bud på en diskonteringsfaktoren</w:t>
      </w:r>
      <w:r w:rsidR="0058061B" w:rsidRPr="005F4479">
        <w:rPr>
          <w:color w:val="000000" w:themeColor="text1"/>
          <w:sz w:val="24"/>
        </w:rPr>
        <w:t xml:space="preserve"> for</w:t>
      </w:r>
      <w:r w:rsidR="00194E28" w:rsidRPr="005F4479">
        <w:rPr>
          <w:color w:val="000000" w:themeColor="text1"/>
          <w:sz w:val="24"/>
        </w:rPr>
        <w:t xml:space="preserve"> en periode i</w:t>
      </w:r>
      <w:r w:rsidR="0058061B" w:rsidRPr="005F4479">
        <w:rPr>
          <w:color w:val="000000" w:themeColor="text1"/>
          <w:sz w:val="24"/>
        </w:rPr>
        <w:t xml:space="preserve"> al evighed, vil denne blive brugt. Herved estimeres nutidsværdien for terminalperioden til </w:t>
      </w:r>
      <w:r w:rsidRPr="005F4479">
        <w:rPr>
          <w:color w:val="000000" w:themeColor="text1"/>
          <w:sz w:val="24"/>
        </w:rPr>
        <w:t>3.281.978 t.</w:t>
      </w:r>
      <w:r w:rsidR="007C7888">
        <w:rPr>
          <w:color w:val="000000" w:themeColor="text1"/>
          <w:sz w:val="24"/>
        </w:rPr>
        <w:t>kr jf. nedenstående kalkulation:</w:t>
      </w:r>
    </w:p>
    <w:p w:rsidR="00B83348" w:rsidRPr="005F4479" w:rsidRDefault="00B83348" w:rsidP="005F4479">
      <w:pPr>
        <w:spacing w:line="360" w:lineRule="auto"/>
        <w:rPr>
          <w:color w:val="000000" w:themeColor="text1"/>
          <w:sz w:val="24"/>
        </w:rPr>
      </w:pPr>
      <w:r>
        <w:rPr>
          <w:color w:val="000000" w:themeColor="text1"/>
          <w:sz w:val="24"/>
        </w:rPr>
        <w:t>t.kr</w:t>
      </w:r>
    </w:p>
    <w:p w:rsidR="00AC363D" w:rsidRPr="005F4479" w:rsidRDefault="00AC363D" w:rsidP="005F4479">
      <w:pPr>
        <w:spacing w:line="360" w:lineRule="auto"/>
        <w:rPr>
          <w:color w:val="000000" w:themeColor="text1"/>
          <w:sz w:val="24"/>
        </w:rPr>
      </w:pPr>
      <w:r w:rsidRPr="005F4479">
        <w:rPr>
          <w:noProof/>
          <w:lang w:eastAsia="da-DK"/>
        </w:rPr>
        <w:drawing>
          <wp:inline distT="0" distB="0" distL="0" distR="0" wp14:anchorId="3571684F" wp14:editId="5ABB764A">
            <wp:extent cx="5759450" cy="953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953135"/>
                    </a:xfrm>
                    <a:prstGeom prst="rect">
                      <a:avLst/>
                    </a:prstGeom>
                  </pic:spPr>
                </pic:pic>
              </a:graphicData>
            </a:graphic>
          </wp:inline>
        </w:drawing>
      </w:r>
    </w:p>
    <w:p w:rsidR="00AC363D" w:rsidRDefault="00AC363D" w:rsidP="005F4479">
      <w:pPr>
        <w:spacing w:line="360" w:lineRule="auto"/>
        <w:rPr>
          <w:color w:val="000000" w:themeColor="text1"/>
          <w:sz w:val="24"/>
        </w:rPr>
      </w:pPr>
    </w:p>
    <w:p w:rsidR="000D2851" w:rsidRDefault="000D2851" w:rsidP="005F4479">
      <w:pPr>
        <w:spacing w:line="360" w:lineRule="auto"/>
        <w:rPr>
          <w:color w:val="000000" w:themeColor="text1"/>
          <w:sz w:val="24"/>
        </w:rPr>
      </w:pPr>
    </w:p>
    <w:p w:rsidR="000D2851" w:rsidRPr="005F4479" w:rsidRDefault="000D2851" w:rsidP="005F4479">
      <w:pPr>
        <w:spacing w:line="360" w:lineRule="auto"/>
        <w:rPr>
          <w:color w:val="000000" w:themeColor="text1"/>
          <w:sz w:val="24"/>
        </w:rPr>
      </w:pPr>
    </w:p>
    <w:p w:rsidR="0058061B" w:rsidRPr="005F4479" w:rsidRDefault="00CF321A" w:rsidP="005F4479">
      <w:pPr>
        <w:pStyle w:val="Heading4"/>
        <w:spacing w:line="360" w:lineRule="auto"/>
        <w:rPr>
          <w:i w:val="0"/>
        </w:rPr>
      </w:pPr>
      <w:bookmarkStart w:id="127" w:name="_Toc411418572"/>
      <w:bookmarkStart w:id="128" w:name="_Toc411420076"/>
      <w:bookmarkStart w:id="129" w:name="_Toc411429486"/>
      <w:bookmarkStart w:id="130" w:name="_Toc411429520"/>
      <w:bookmarkStart w:id="131" w:name="_Toc411429603"/>
      <w:bookmarkStart w:id="132" w:name="_Toc411439340"/>
      <w:bookmarkStart w:id="133" w:name="_Toc411525399"/>
      <w:r w:rsidRPr="005F4479">
        <w:rPr>
          <w:i w:val="0"/>
          <w:sz w:val="24"/>
        </w:rPr>
        <w:lastRenderedPageBreak/>
        <w:t xml:space="preserve">6.4 </w:t>
      </w:r>
      <w:r w:rsidR="000B5432" w:rsidRPr="005F4479">
        <w:rPr>
          <w:i w:val="0"/>
          <w:sz w:val="24"/>
        </w:rPr>
        <w:t>Beregning af Huscompagniets markedsværdi</w:t>
      </w:r>
      <w:r w:rsidR="00FE5316" w:rsidRPr="005F4479">
        <w:rPr>
          <w:i w:val="0"/>
          <w:sz w:val="24"/>
        </w:rPr>
        <w:t xml:space="preserve"> - </w:t>
      </w:r>
      <w:r w:rsidRPr="005F4479">
        <w:rPr>
          <w:i w:val="0"/>
          <w:sz w:val="24"/>
        </w:rPr>
        <w:t>del</w:t>
      </w:r>
      <w:r w:rsidR="00FE5316" w:rsidRPr="005F4479">
        <w:rPr>
          <w:i w:val="0"/>
          <w:sz w:val="24"/>
        </w:rPr>
        <w:t>konklusion</w:t>
      </w:r>
      <w:bookmarkEnd w:id="127"/>
      <w:bookmarkEnd w:id="128"/>
      <w:bookmarkEnd w:id="129"/>
      <w:bookmarkEnd w:id="130"/>
      <w:bookmarkEnd w:id="131"/>
      <w:bookmarkEnd w:id="132"/>
      <w:bookmarkEnd w:id="133"/>
    </w:p>
    <w:p w:rsidR="007A1A88" w:rsidRPr="005F4479" w:rsidRDefault="007A1A88" w:rsidP="005F4479">
      <w:pPr>
        <w:spacing w:line="360" w:lineRule="auto"/>
        <w:rPr>
          <w:color w:val="000000" w:themeColor="text1"/>
          <w:sz w:val="24"/>
        </w:rPr>
      </w:pPr>
      <w:r w:rsidRPr="005F4479">
        <w:rPr>
          <w:color w:val="000000" w:themeColor="text1"/>
          <w:sz w:val="24"/>
        </w:rPr>
        <w:t>Den summerede værdi af nutidsværdien for henholdsvis budget- og terminalperioden er 3.882.779,32 og angi</w:t>
      </w:r>
      <w:r w:rsidR="00B83348">
        <w:rPr>
          <w:color w:val="000000" w:themeColor="text1"/>
          <w:sz w:val="24"/>
        </w:rPr>
        <w:t>ver derfor virksomhedens værdi:</w:t>
      </w:r>
    </w:p>
    <w:p w:rsidR="007A1A88" w:rsidRPr="005F4479" w:rsidRDefault="007A1A88" w:rsidP="005F4479">
      <w:pPr>
        <w:spacing w:line="360" w:lineRule="auto"/>
        <w:rPr>
          <w:color w:val="000000" w:themeColor="text1"/>
          <w:sz w:val="24"/>
        </w:rPr>
      </w:pPr>
      <w:r w:rsidRPr="005F4479">
        <w:rPr>
          <w:color w:val="000000" w:themeColor="text1"/>
          <w:sz w:val="24"/>
        </w:rPr>
        <w:t>t.kr.</w:t>
      </w:r>
    </w:p>
    <w:p w:rsidR="007A1A88" w:rsidRPr="005F4479" w:rsidRDefault="007A1A88" w:rsidP="005F4479">
      <w:pPr>
        <w:spacing w:line="360" w:lineRule="auto"/>
        <w:rPr>
          <w:color w:val="000000" w:themeColor="text1"/>
          <w:sz w:val="24"/>
        </w:rPr>
      </w:pPr>
      <w:r w:rsidRPr="005F4479">
        <w:rPr>
          <w:noProof/>
          <w:lang w:eastAsia="da-DK"/>
        </w:rPr>
        <w:drawing>
          <wp:inline distT="0" distB="0" distL="0" distR="0" wp14:anchorId="64B5DBAF" wp14:editId="2FB9AA82">
            <wp:extent cx="3914775" cy="628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14775" cy="628650"/>
                    </a:xfrm>
                    <a:prstGeom prst="rect">
                      <a:avLst/>
                    </a:prstGeom>
                  </pic:spPr>
                </pic:pic>
              </a:graphicData>
            </a:graphic>
          </wp:inline>
        </w:drawing>
      </w:r>
    </w:p>
    <w:p w:rsidR="00AE194F" w:rsidRPr="005F4479" w:rsidRDefault="007A1A88" w:rsidP="005F4479">
      <w:pPr>
        <w:spacing w:line="360" w:lineRule="auto"/>
        <w:rPr>
          <w:color w:val="000000" w:themeColor="text1"/>
          <w:sz w:val="24"/>
        </w:rPr>
      </w:pPr>
      <w:r w:rsidRPr="005F4479">
        <w:rPr>
          <w:color w:val="000000" w:themeColor="text1"/>
          <w:sz w:val="24"/>
        </w:rPr>
        <w:t xml:space="preserve">Målet er imidlertid at omforme dette til </w:t>
      </w:r>
      <w:r w:rsidR="00967342" w:rsidRPr="005F4479">
        <w:rPr>
          <w:color w:val="000000" w:themeColor="text1"/>
          <w:sz w:val="24"/>
        </w:rPr>
        <w:t xml:space="preserve">markedsværdien, altså værdien fratrukket den rentebærende gæld. Den rentebærende gæld </w:t>
      </w:r>
      <w:r w:rsidR="007C10F9" w:rsidRPr="005F4479">
        <w:rPr>
          <w:color w:val="000000" w:themeColor="text1"/>
          <w:sz w:val="24"/>
        </w:rPr>
        <w:t>udgøre,</w:t>
      </w:r>
      <w:r w:rsidR="00967342" w:rsidRPr="005F4479">
        <w:rPr>
          <w:color w:val="000000" w:themeColor="text1"/>
          <w:sz w:val="24"/>
        </w:rPr>
        <w:t xml:space="preserve"> som tidligere beskrevet</w:t>
      </w:r>
      <w:r w:rsidR="007C10F9" w:rsidRPr="005F4479">
        <w:rPr>
          <w:color w:val="000000" w:themeColor="text1"/>
          <w:sz w:val="24"/>
        </w:rPr>
        <w:t>,</w:t>
      </w:r>
      <w:r w:rsidR="00967342" w:rsidRPr="005F4479">
        <w:rPr>
          <w:color w:val="000000" w:themeColor="text1"/>
          <w:sz w:val="24"/>
        </w:rPr>
        <w:t xml:space="preserve"> kun en mindre del, da kun</w:t>
      </w:r>
      <w:r w:rsidR="00C81B07" w:rsidRPr="005F4479">
        <w:rPr>
          <w:color w:val="000000" w:themeColor="text1"/>
          <w:sz w:val="24"/>
        </w:rPr>
        <w:t xml:space="preserve"> posten bankgæld går under her i Huscompagniets tilfælde. </w:t>
      </w:r>
    </w:p>
    <w:p w:rsidR="009F3F7D" w:rsidRPr="005F4479" w:rsidRDefault="009F3F7D" w:rsidP="005F4479">
      <w:pPr>
        <w:spacing w:line="360" w:lineRule="auto"/>
        <w:rPr>
          <w:color w:val="000000" w:themeColor="text1"/>
          <w:sz w:val="24"/>
        </w:rPr>
      </w:pPr>
      <w:r w:rsidRPr="005F4479">
        <w:rPr>
          <w:color w:val="000000" w:themeColor="text1"/>
          <w:sz w:val="24"/>
        </w:rPr>
        <w:t>t.kr</w:t>
      </w:r>
    </w:p>
    <w:p w:rsidR="00AE194F" w:rsidRPr="005F4479" w:rsidRDefault="00AE194F" w:rsidP="005F4479">
      <w:pPr>
        <w:spacing w:line="360" w:lineRule="auto"/>
        <w:rPr>
          <w:color w:val="000000" w:themeColor="text1"/>
          <w:sz w:val="24"/>
        </w:rPr>
      </w:pPr>
      <w:r w:rsidRPr="005F4479">
        <w:rPr>
          <w:noProof/>
          <w:lang w:eastAsia="da-DK"/>
        </w:rPr>
        <w:drawing>
          <wp:inline distT="0" distB="0" distL="0" distR="0" wp14:anchorId="00CF0037" wp14:editId="2048004B">
            <wp:extent cx="3924300" cy="657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24300" cy="657225"/>
                    </a:xfrm>
                    <a:prstGeom prst="rect">
                      <a:avLst/>
                    </a:prstGeom>
                  </pic:spPr>
                </pic:pic>
              </a:graphicData>
            </a:graphic>
          </wp:inline>
        </w:drawing>
      </w:r>
    </w:p>
    <w:p w:rsidR="00A440EF" w:rsidRPr="005F4479" w:rsidRDefault="00A440EF" w:rsidP="005F4479">
      <w:pPr>
        <w:spacing w:line="360" w:lineRule="auto"/>
        <w:rPr>
          <w:color w:val="000000" w:themeColor="text1"/>
          <w:sz w:val="24"/>
        </w:rPr>
      </w:pPr>
      <w:r w:rsidRPr="005F4479">
        <w:rPr>
          <w:color w:val="000000" w:themeColor="text1"/>
          <w:sz w:val="24"/>
        </w:rPr>
        <w:t xml:space="preserve">Markedsværdien </w:t>
      </w:r>
      <w:r w:rsidR="00CA41E4" w:rsidRPr="005F4479">
        <w:rPr>
          <w:color w:val="000000" w:themeColor="text1"/>
          <w:sz w:val="24"/>
        </w:rPr>
        <w:t xml:space="preserve">af Huscompagniet A/S </w:t>
      </w:r>
      <w:r w:rsidRPr="005F4479">
        <w:rPr>
          <w:color w:val="000000" w:themeColor="text1"/>
          <w:sz w:val="24"/>
        </w:rPr>
        <w:t xml:space="preserve">er </w:t>
      </w:r>
      <w:r w:rsidR="0089448C" w:rsidRPr="005F4479">
        <w:rPr>
          <w:color w:val="000000" w:themeColor="text1"/>
          <w:sz w:val="24"/>
        </w:rPr>
        <w:t xml:space="preserve">slutteligt </w:t>
      </w:r>
      <w:r w:rsidRPr="005F4479">
        <w:rPr>
          <w:color w:val="000000" w:themeColor="text1"/>
          <w:sz w:val="24"/>
        </w:rPr>
        <w:t xml:space="preserve">bestemt til 3.756.736,32 t.kr. </w:t>
      </w:r>
      <w:r w:rsidR="00C2129B" w:rsidRPr="005F4479">
        <w:rPr>
          <w:color w:val="000000" w:themeColor="text1"/>
          <w:sz w:val="24"/>
        </w:rPr>
        <w:t xml:space="preserve">vha. af DCF-modellen. </w:t>
      </w:r>
      <w:r w:rsidR="00CA41E4" w:rsidRPr="005F4479">
        <w:rPr>
          <w:color w:val="000000" w:themeColor="text1"/>
          <w:sz w:val="24"/>
        </w:rPr>
        <w:t xml:space="preserve">Markedsværdien er med andre ord </w:t>
      </w:r>
      <w:r w:rsidR="00FC3305" w:rsidRPr="005F4479">
        <w:rPr>
          <w:color w:val="000000" w:themeColor="text1"/>
          <w:sz w:val="24"/>
        </w:rPr>
        <w:t>altså et udtryk for den pris NCC bør</w:t>
      </w:r>
      <w:r w:rsidR="00C81B07" w:rsidRPr="005F4479">
        <w:rPr>
          <w:color w:val="000000" w:themeColor="text1"/>
          <w:sz w:val="24"/>
        </w:rPr>
        <w:t xml:space="preserve"> forvente at skulle give for</w:t>
      </w:r>
      <w:r w:rsidR="00CA41E4" w:rsidRPr="005F4479">
        <w:rPr>
          <w:color w:val="000000" w:themeColor="text1"/>
          <w:sz w:val="24"/>
        </w:rPr>
        <w:t xml:space="preserve"> </w:t>
      </w:r>
      <w:r w:rsidR="00FC3305" w:rsidRPr="005F4479">
        <w:rPr>
          <w:color w:val="000000" w:themeColor="text1"/>
          <w:sz w:val="24"/>
        </w:rPr>
        <w:t xml:space="preserve">Huscompagniet ud fra de i analyse estimerede frie cash flow som Huscompagniet kan forventes at genere i fremtiden. </w:t>
      </w:r>
      <w:r w:rsidR="00243486" w:rsidRPr="005F4479">
        <w:rPr>
          <w:color w:val="000000" w:themeColor="text1"/>
          <w:sz w:val="24"/>
        </w:rPr>
        <w:t>Analysen er naturligvis præget af en række</w:t>
      </w:r>
      <w:r w:rsidR="00704E88" w:rsidRPr="005F4479">
        <w:rPr>
          <w:color w:val="000000" w:themeColor="text1"/>
          <w:sz w:val="24"/>
        </w:rPr>
        <w:t xml:space="preserve"> </w:t>
      </w:r>
      <w:r w:rsidR="0089448C" w:rsidRPr="005F4479">
        <w:rPr>
          <w:color w:val="000000" w:themeColor="text1"/>
          <w:sz w:val="24"/>
        </w:rPr>
        <w:t>usikkerhedsfaktorer.</w:t>
      </w:r>
      <w:r w:rsidR="00704E88" w:rsidRPr="005F4479">
        <w:rPr>
          <w:color w:val="000000" w:themeColor="text1"/>
          <w:sz w:val="24"/>
        </w:rPr>
        <w:t xml:space="preserve"> </w:t>
      </w:r>
      <w:r w:rsidR="006A7BB2" w:rsidRPr="005F4479">
        <w:rPr>
          <w:color w:val="000000" w:themeColor="text1"/>
          <w:sz w:val="24"/>
        </w:rPr>
        <w:t>For at overskue, hvor sikker enhver værdian</w:t>
      </w:r>
      <w:r w:rsidR="00243486" w:rsidRPr="005F4479">
        <w:rPr>
          <w:color w:val="000000" w:themeColor="text1"/>
          <w:sz w:val="24"/>
        </w:rPr>
        <w:t>sættelse uanset fremgangsmåde</w:t>
      </w:r>
      <w:r w:rsidR="006A7BB2" w:rsidRPr="005F4479">
        <w:rPr>
          <w:color w:val="000000" w:themeColor="text1"/>
          <w:sz w:val="24"/>
        </w:rPr>
        <w:t xml:space="preserve">, bruges </w:t>
      </w:r>
      <w:r w:rsidR="007B3B66" w:rsidRPr="005F4479">
        <w:rPr>
          <w:color w:val="000000" w:themeColor="text1"/>
          <w:sz w:val="24"/>
        </w:rPr>
        <w:t xml:space="preserve">som tidligere nævnt </w:t>
      </w:r>
      <w:r w:rsidR="006A7BB2" w:rsidRPr="005F4479">
        <w:rPr>
          <w:color w:val="000000" w:themeColor="text1"/>
          <w:sz w:val="24"/>
        </w:rPr>
        <w:t>en følsomhedsanalyse</w:t>
      </w:r>
      <w:r w:rsidR="007B3B66" w:rsidRPr="005F4479">
        <w:rPr>
          <w:color w:val="000000" w:themeColor="text1"/>
          <w:sz w:val="24"/>
        </w:rPr>
        <w:t>. I</w:t>
      </w:r>
      <w:r w:rsidR="006A7BB2" w:rsidRPr="005F4479">
        <w:rPr>
          <w:color w:val="000000" w:themeColor="text1"/>
          <w:sz w:val="24"/>
        </w:rPr>
        <w:t xml:space="preserve"> efterfølgende afsnit vil danne ramme for diskussionen af hvor sikker værdi</w:t>
      </w:r>
      <w:r w:rsidR="009D4500" w:rsidRPr="005F4479">
        <w:rPr>
          <w:color w:val="000000" w:themeColor="text1"/>
          <w:sz w:val="24"/>
        </w:rPr>
        <w:t>ansættelse af Huscompagniet er og desuden diskutere de overvejelser der bør foretages før opkøb.</w:t>
      </w:r>
    </w:p>
    <w:p w:rsidR="00AE194F" w:rsidRPr="005F4479" w:rsidRDefault="00AE194F" w:rsidP="005F4479">
      <w:pPr>
        <w:spacing w:line="360" w:lineRule="auto"/>
        <w:rPr>
          <w:color w:val="000000" w:themeColor="text1"/>
          <w:sz w:val="24"/>
        </w:rPr>
      </w:pPr>
      <w:r w:rsidRPr="005F4479">
        <w:rPr>
          <w:color w:val="000000" w:themeColor="text1"/>
          <w:sz w:val="24"/>
        </w:rPr>
        <w:t xml:space="preserve">Se </w:t>
      </w:r>
      <w:r w:rsidR="00730004">
        <w:rPr>
          <w:color w:val="000000" w:themeColor="text1"/>
          <w:sz w:val="24"/>
        </w:rPr>
        <w:t xml:space="preserve">bilag 7 for den samlede DCF-model af Huscompagniet. </w:t>
      </w:r>
    </w:p>
    <w:p w:rsidR="00686F57" w:rsidRPr="005F4479" w:rsidRDefault="00686F57" w:rsidP="005F4479">
      <w:pPr>
        <w:spacing w:line="360" w:lineRule="auto"/>
        <w:rPr>
          <w:sz w:val="24"/>
        </w:rPr>
      </w:pPr>
    </w:p>
    <w:p w:rsidR="00686F57" w:rsidRPr="005F4479" w:rsidRDefault="00CF321A" w:rsidP="005F4479">
      <w:pPr>
        <w:pStyle w:val="Heading3"/>
        <w:spacing w:line="360" w:lineRule="auto"/>
        <w:rPr>
          <w:sz w:val="32"/>
        </w:rPr>
      </w:pPr>
      <w:bookmarkStart w:id="134" w:name="_Toc411418574"/>
      <w:bookmarkStart w:id="135" w:name="_Toc411419334"/>
      <w:bookmarkStart w:id="136" w:name="_Toc411420078"/>
      <w:bookmarkStart w:id="137" w:name="_Toc411421055"/>
      <w:bookmarkStart w:id="138" w:name="_Toc411429488"/>
      <w:bookmarkStart w:id="139" w:name="_Toc411429522"/>
      <w:bookmarkStart w:id="140" w:name="_Toc411429605"/>
      <w:bookmarkStart w:id="141" w:name="_Toc411435390"/>
      <w:bookmarkStart w:id="142" w:name="_Toc411437954"/>
      <w:bookmarkStart w:id="143" w:name="_Toc411439342"/>
      <w:bookmarkStart w:id="144" w:name="_Toc411525400"/>
      <w:r w:rsidRPr="005F4479">
        <w:rPr>
          <w:sz w:val="32"/>
        </w:rPr>
        <w:t xml:space="preserve">7. </w:t>
      </w:r>
      <w:r w:rsidR="00686F57" w:rsidRPr="005F4479">
        <w:rPr>
          <w:sz w:val="32"/>
        </w:rPr>
        <w:t>Hvo</w:t>
      </w:r>
      <w:r w:rsidR="00F23E0F" w:rsidRPr="005F4479">
        <w:rPr>
          <w:sz w:val="32"/>
        </w:rPr>
        <w:t>r sikker er værdiansættelsen af Huscompagniet?</w:t>
      </w:r>
      <w:bookmarkEnd w:id="134"/>
      <w:bookmarkEnd w:id="135"/>
      <w:bookmarkEnd w:id="136"/>
      <w:bookmarkEnd w:id="137"/>
      <w:bookmarkEnd w:id="138"/>
      <w:bookmarkEnd w:id="139"/>
      <w:bookmarkEnd w:id="140"/>
      <w:bookmarkEnd w:id="141"/>
      <w:bookmarkEnd w:id="142"/>
      <w:bookmarkEnd w:id="143"/>
      <w:bookmarkEnd w:id="144"/>
      <w:r w:rsidR="00F23E0F" w:rsidRPr="005F4479">
        <w:rPr>
          <w:sz w:val="32"/>
        </w:rPr>
        <w:t xml:space="preserve"> </w:t>
      </w:r>
    </w:p>
    <w:p w:rsidR="00CF321A" w:rsidRPr="005F4479" w:rsidRDefault="00CF321A" w:rsidP="005F4479">
      <w:pPr>
        <w:spacing w:line="360" w:lineRule="auto"/>
      </w:pPr>
    </w:p>
    <w:p w:rsidR="005111A0" w:rsidRPr="005F4479" w:rsidRDefault="008115E9" w:rsidP="005F4479">
      <w:pPr>
        <w:spacing w:line="360" w:lineRule="auto"/>
        <w:rPr>
          <w:sz w:val="24"/>
        </w:rPr>
      </w:pPr>
      <w:r w:rsidRPr="005F4479">
        <w:rPr>
          <w:sz w:val="24"/>
        </w:rPr>
        <w:t xml:space="preserve">Enhver værdiansættelse er afhængig af de forudsætninger som vælges. Derfor vil resultatet afhængig af analytikerens skøn for fremtiden. For at overskue de konsekvenser en ændring af en given forudsætning kan gøre for markedsværdien benyttes følsomhedsanalyser. Denne typer analyser er yderst behjælpelige som værktøj til, at overveje om det er eksempelvis er risikoen værd at investere i den pågældende virksomhed, eller om kapitalen kan </w:t>
      </w:r>
      <w:r w:rsidR="008005D1" w:rsidRPr="005F4479">
        <w:rPr>
          <w:sz w:val="24"/>
        </w:rPr>
        <w:t>investeres</w:t>
      </w:r>
      <w:r w:rsidRPr="005F4479">
        <w:rPr>
          <w:sz w:val="24"/>
        </w:rPr>
        <w:t xml:space="preserve"> i bedre afkastalternativer. </w:t>
      </w:r>
      <w:r w:rsidR="008005D1" w:rsidRPr="005F4479">
        <w:rPr>
          <w:sz w:val="24"/>
        </w:rPr>
        <w:t xml:space="preserve">For Huscompagniet er det muligt at ændre på en lang række forudsætninger, </w:t>
      </w:r>
      <w:r w:rsidR="008005D1" w:rsidRPr="005F4479">
        <w:rPr>
          <w:sz w:val="24"/>
        </w:rPr>
        <w:lastRenderedPageBreak/>
        <w:t>men da længden af opgaven er begrænset afgrænses følsomhedsanalysen til at berøre 4 scenarie fordelt på 2 forskellige todimensionale analyser. Indledningsvis vil jeg belyse, hvorledes en udvikling i henholdsvis vækstraten for terminalperioden</w:t>
      </w:r>
      <w:r w:rsidR="00E727F0" w:rsidRPr="005F4479">
        <w:rPr>
          <w:sz w:val="24"/>
        </w:rPr>
        <w:t xml:space="preserve"> </w:t>
      </w:r>
      <w:r w:rsidR="008005D1" w:rsidRPr="005F4479">
        <w:rPr>
          <w:sz w:val="24"/>
        </w:rPr>
        <w:t>og NOPAT ratio</w:t>
      </w:r>
      <w:r w:rsidR="00E727F0" w:rsidRPr="005F4479">
        <w:rPr>
          <w:sz w:val="24"/>
        </w:rPr>
        <w:t xml:space="preserve"> </w:t>
      </w:r>
      <w:r w:rsidR="008005D1" w:rsidRPr="005F4479">
        <w:rPr>
          <w:sz w:val="24"/>
        </w:rPr>
        <w:t xml:space="preserve">påvirke markedsværdien for Huscompagniet. </w:t>
      </w:r>
    </w:p>
    <w:p w:rsidR="005111A0" w:rsidRPr="005F4479" w:rsidRDefault="005111A0" w:rsidP="005F4479">
      <w:pPr>
        <w:spacing w:line="360" w:lineRule="auto"/>
        <w:rPr>
          <w:sz w:val="24"/>
        </w:rPr>
      </w:pPr>
    </w:p>
    <w:p w:rsidR="005111A0" w:rsidRPr="005F4479" w:rsidRDefault="00CF321A" w:rsidP="005F4479">
      <w:pPr>
        <w:pStyle w:val="Heading4"/>
        <w:spacing w:line="360" w:lineRule="auto"/>
        <w:rPr>
          <w:i w:val="0"/>
          <w:sz w:val="24"/>
        </w:rPr>
      </w:pPr>
      <w:bookmarkStart w:id="145" w:name="_Toc411420079"/>
      <w:bookmarkStart w:id="146" w:name="_Toc411429489"/>
      <w:bookmarkStart w:id="147" w:name="_Toc411429523"/>
      <w:bookmarkStart w:id="148" w:name="_Toc411429606"/>
      <w:bookmarkStart w:id="149" w:name="_Toc411439343"/>
      <w:bookmarkStart w:id="150" w:name="_Toc411525401"/>
      <w:r w:rsidRPr="005F4479">
        <w:rPr>
          <w:i w:val="0"/>
          <w:sz w:val="24"/>
        </w:rPr>
        <w:t xml:space="preserve">7.1 </w:t>
      </w:r>
      <w:r w:rsidR="005111A0" w:rsidRPr="005F4479">
        <w:rPr>
          <w:i w:val="0"/>
          <w:sz w:val="24"/>
        </w:rPr>
        <w:t xml:space="preserve">Følsomhedsanalyse </w:t>
      </w:r>
      <w:r w:rsidR="00F23E0F" w:rsidRPr="005F4479">
        <w:rPr>
          <w:i w:val="0"/>
          <w:sz w:val="24"/>
        </w:rPr>
        <w:t>– Vækst i terminal</w:t>
      </w:r>
      <w:r w:rsidR="00CD5E96" w:rsidRPr="005F4479">
        <w:rPr>
          <w:i w:val="0"/>
          <w:sz w:val="24"/>
        </w:rPr>
        <w:t>perioden og NOPAT ratio</w:t>
      </w:r>
      <w:bookmarkEnd w:id="145"/>
      <w:bookmarkEnd w:id="146"/>
      <w:bookmarkEnd w:id="147"/>
      <w:bookmarkEnd w:id="148"/>
      <w:bookmarkEnd w:id="149"/>
      <w:bookmarkEnd w:id="150"/>
    </w:p>
    <w:p w:rsidR="008005D1" w:rsidRPr="005F4479" w:rsidRDefault="00BC3A1B" w:rsidP="005F4479">
      <w:pPr>
        <w:spacing w:line="360" w:lineRule="auto"/>
        <w:rPr>
          <w:sz w:val="24"/>
        </w:rPr>
      </w:pPr>
      <w:r w:rsidRPr="005F4479">
        <w:rPr>
          <w:sz w:val="24"/>
        </w:rPr>
        <w:t xml:space="preserve">Terminalperioden er som tidligere nævnt </w:t>
      </w:r>
      <w:r w:rsidR="00197634" w:rsidRPr="005F4479">
        <w:rPr>
          <w:sz w:val="24"/>
        </w:rPr>
        <w:t>en perpetuitet</w:t>
      </w:r>
      <w:r w:rsidRPr="005F4479">
        <w:rPr>
          <w:sz w:val="24"/>
        </w:rPr>
        <w:t xml:space="preserve"> og vækstraten for terminalperioden er derfor næsten altafgørende for markedsværdien. </w:t>
      </w:r>
      <w:r w:rsidR="008005D1" w:rsidRPr="005F4479">
        <w:rPr>
          <w:sz w:val="24"/>
        </w:rPr>
        <w:t xml:space="preserve">Derfor er samtlige udfald beregnet i nedestående skema: </w:t>
      </w:r>
    </w:p>
    <w:p w:rsidR="008005D1" w:rsidRPr="005F4479" w:rsidRDefault="00197634" w:rsidP="005F4479">
      <w:pPr>
        <w:spacing w:line="360" w:lineRule="auto"/>
        <w:rPr>
          <w:sz w:val="24"/>
        </w:rPr>
      </w:pPr>
      <w:r w:rsidRPr="005F4479">
        <w:rPr>
          <w:noProof/>
          <w:lang w:eastAsia="da-DK"/>
        </w:rPr>
        <w:drawing>
          <wp:inline distT="0" distB="0" distL="0" distR="0" wp14:anchorId="05400D93" wp14:editId="05557498">
            <wp:extent cx="5759450" cy="1299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1299845"/>
                    </a:xfrm>
                    <a:prstGeom prst="rect">
                      <a:avLst/>
                    </a:prstGeom>
                  </pic:spPr>
                </pic:pic>
              </a:graphicData>
            </a:graphic>
          </wp:inline>
        </w:drawing>
      </w:r>
    </w:p>
    <w:p w:rsidR="00197634" w:rsidRPr="005F4479" w:rsidRDefault="00197634" w:rsidP="005F4479">
      <w:pPr>
        <w:spacing w:line="360" w:lineRule="auto"/>
        <w:rPr>
          <w:sz w:val="24"/>
        </w:rPr>
      </w:pPr>
    </w:p>
    <w:p w:rsidR="00E727F0" w:rsidRPr="005F4479" w:rsidRDefault="00E727F0" w:rsidP="005F4479">
      <w:pPr>
        <w:spacing w:line="360" w:lineRule="auto"/>
        <w:rPr>
          <w:sz w:val="24"/>
        </w:rPr>
      </w:pPr>
    </w:p>
    <w:p w:rsidR="00EB782E" w:rsidRPr="005F4479" w:rsidRDefault="00197634" w:rsidP="005F4479">
      <w:pPr>
        <w:spacing w:line="360" w:lineRule="auto"/>
        <w:rPr>
          <w:sz w:val="24"/>
        </w:rPr>
      </w:pPr>
      <w:r w:rsidRPr="005F4479">
        <w:rPr>
          <w:sz w:val="24"/>
        </w:rPr>
        <w:t>Feltet overstreget med gul angiver den, i analysen, estimerede markedsværdi for Huscompagniet. De omkringliggende felter angiver en lang række mulige scenerier. Det er bemærkelsesværdig ved denne følsomhedsanalyse er,</w:t>
      </w:r>
      <w:r w:rsidR="005111A0" w:rsidRPr="005F4479">
        <w:rPr>
          <w:sz w:val="24"/>
        </w:rPr>
        <w:t xml:space="preserve"> at</w:t>
      </w:r>
      <w:r w:rsidRPr="005F4479">
        <w:rPr>
          <w:sz w:val="24"/>
        </w:rPr>
        <w:t xml:space="preserve"> væksten i terminalperiodens indflydelse på den m</w:t>
      </w:r>
      <w:r w:rsidR="005111A0" w:rsidRPr="005F4479">
        <w:rPr>
          <w:sz w:val="24"/>
        </w:rPr>
        <w:t xml:space="preserve">arkedsværdien for Huscompagniet. En stigning i omsætningsvækstraten på 1%-point til </w:t>
      </w:r>
      <w:r w:rsidR="0021546B">
        <w:rPr>
          <w:sz w:val="24"/>
        </w:rPr>
        <w:t xml:space="preserve">fra 2% til </w:t>
      </w:r>
      <w:r w:rsidR="005111A0" w:rsidRPr="005F4479">
        <w:rPr>
          <w:sz w:val="24"/>
        </w:rPr>
        <w:t xml:space="preserve">3% til en NOPAT ratio på de oprindelige 6,35%, betyder en vækst i markedsværdien på hele 30%. </w:t>
      </w:r>
      <w:r w:rsidR="003B7B21" w:rsidRPr="005F4479">
        <w:rPr>
          <w:sz w:val="24"/>
        </w:rPr>
        <w:t xml:space="preserve">Omvendt vil et fald i omsætningsvækstraten på 1%-point fra 2% til 1% kun betyde et procentuelt fald på 18% i </w:t>
      </w:r>
      <w:r w:rsidR="009D4500" w:rsidRPr="005F4479">
        <w:rPr>
          <w:sz w:val="24"/>
        </w:rPr>
        <w:t>markedsværdien.</w:t>
      </w:r>
      <w:r w:rsidR="003B7B21" w:rsidRPr="005F4479">
        <w:rPr>
          <w:sz w:val="24"/>
        </w:rPr>
        <w:t xml:space="preserve"> </w:t>
      </w:r>
      <w:r w:rsidR="00897403" w:rsidRPr="005F4479">
        <w:rPr>
          <w:sz w:val="24"/>
        </w:rPr>
        <w:t xml:space="preserve">NOPAT ratio har naturligvis også en stor betydning for, hvor stor markedsværdien bliver. </w:t>
      </w:r>
      <w:r w:rsidR="009D4500" w:rsidRPr="005F4479">
        <w:rPr>
          <w:sz w:val="24"/>
        </w:rPr>
        <w:t>Den</w:t>
      </w:r>
      <w:r w:rsidR="00897403" w:rsidRPr="005F4479">
        <w:rPr>
          <w:sz w:val="24"/>
        </w:rPr>
        <w:t xml:space="preserve"> er som tidligere nævnt et udtryk for, hvor stor en del af omsætningen som bliver til NOPAT. Derfor er denne procentsats også præget af usikkerhedsfaktorer, da det fremtidige cash flow ikke med sikkerhed kan forventes at forblive på niveauet 6,35%. </w:t>
      </w:r>
      <w:r w:rsidR="00113423" w:rsidRPr="005F4479">
        <w:rPr>
          <w:sz w:val="24"/>
        </w:rPr>
        <w:t xml:space="preserve">For at statuere dens indflydelse </w:t>
      </w:r>
      <w:r w:rsidR="00154A11" w:rsidRPr="005F4479">
        <w:rPr>
          <w:sz w:val="24"/>
        </w:rPr>
        <w:t>betyder en positiv ændring på bare 1%-point fra 6,35% til 7,35% en procentuel stigning i markedsværdien på 17%</w:t>
      </w:r>
      <w:r w:rsidR="0021546B">
        <w:rPr>
          <w:sz w:val="24"/>
        </w:rPr>
        <w:t xml:space="preserve"> ved en terminalvækst på </w:t>
      </w:r>
      <w:r w:rsidR="006352D8">
        <w:rPr>
          <w:sz w:val="24"/>
        </w:rPr>
        <w:t xml:space="preserve">de oprindelige </w:t>
      </w:r>
      <w:r w:rsidR="0021546B">
        <w:rPr>
          <w:sz w:val="24"/>
        </w:rPr>
        <w:t>2%</w:t>
      </w:r>
      <w:r w:rsidR="00154A11" w:rsidRPr="005F4479">
        <w:rPr>
          <w:sz w:val="24"/>
        </w:rPr>
        <w:t xml:space="preserve">. </w:t>
      </w:r>
      <w:r w:rsidR="00113423" w:rsidRPr="005F4479">
        <w:rPr>
          <w:sz w:val="24"/>
        </w:rPr>
        <w:t xml:space="preserve"> </w:t>
      </w:r>
      <w:r w:rsidR="00EB782E" w:rsidRPr="005F4479">
        <w:rPr>
          <w:sz w:val="24"/>
        </w:rPr>
        <w:t xml:space="preserve">Det kan altså konkluderes, at vækstraten for terminalperioden har en afgørende indflydelse på ændringen i markedsværdien. </w:t>
      </w:r>
      <w:r w:rsidR="00F23E0F" w:rsidRPr="005F4479">
        <w:rPr>
          <w:sz w:val="24"/>
        </w:rPr>
        <w:t xml:space="preserve">Desuden kan man konkludere ud fra ovenstående følsomhedsanalyse, at den største ændring sker ved en ændring </w:t>
      </w:r>
      <w:r w:rsidR="00BC148F">
        <w:rPr>
          <w:sz w:val="24"/>
        </w:rPr>
        <w:t>i væksten i terminalperioden fra 4% til 5%</w:t>
      </w:r>
      <w:r w:rsidR="00CA390E">
        <w:rPr>
          <w:sz w:val="24"/>
        </w:rPr>
        <w:t xml:space="preserve">. Dette har naturligvis også en indflydelse på NOPAT ratios </w:t>
      </w:r>
      <w:r w:rsidR="00DF60AA">
        <w:rPr>
          <w:sz w:val="24"/>
        </w:rPr>
        <w:t>påvirkning</w:t>
      </w:r>
      <w:r w:rsidR="003C691B">
        <w:rPr>
          <w:sz w:val="24"/>
        </w:rPr>
        <w:t>.</w:t>
      </w:r>
    </w:p>
    <w:p w:rsidR="00295DC0" w:rsidRPr="005F4479" w:rsidRDefault="00295DC0" w:rsidP="005F4479">
      <w:pPr>
        <w:spacing w:line="360" w:lineRule="auto"/>
        <w:rPr>
          <w:sz w:val="24"/>
        </w:rPr>
      </w:pPr>
    </w:p>
    <w:p w:rsidR="00295DC0" w:rsidRPr="005F4479" w:rsidRDefault="00CF321A" w:rsidP="005F4479">
      <w:pPr>
        <w:pStyle w:val="Heading4"/>
        <w:spacing w:line="360" w:lineRule="auto"/>
        <w:rPr>
          <w:i w:val="0"/>
          <w:sz w:val="24"/>
        </w:rPr>
      </w:pPr>
      <w:bookmarkStart w:id="151" w:name="_Toc411420080"/>
      <w:bookmarkStart w:id="152" w:name="_Toc411429490"/>
      <w:bookmarkStart w:id="153" w:name="_Toc411429524"/>
      <w:bookmarkStart w:id="154" w:name="_Toc411429607"/>
      <w:bookmarkStart w:id="155" w:name="_Toc411439344"/>
      <w:bookmarkStart w:id="156" w:name="_Toc411525402"/>
      <w:r w:rsidRPr="005F4479">
        <w:rPr>
          <w:i w:val="0"/>
          <w:sz w:val="24"/>
        </w:rPr>
        <w:t xml:space="preserve">7.2 </w:t>
      </w:r>
      <w:r w:rsidR="00295DC0" w:rsidRPr="005F4479">
        <w:rPr>
          <w:i w:val="0"/>
          <w:sz w:val="24"/>
        </w:rPr>
        <w:t>Følsomhedsanalyse – Vækst i Budgetperioden og NOPA</w:t>
      </w:r>
      <w:bookmarkEnd w:id="151"/>
      <w:bookmarkEnd w:id="152"/>
      <w:bookmarkEnd w:id="153"/>
      <w:bookmarkEnd w:id="154"/>
      <w:bookmarkEnd w:id="155"/>
      <w:r w:rsidRPr="005F4479">
        <w:rPr>
          <w:i w:val="0"/>
          <w:sz w:val="24"/>
        </w:rPr>
        <w:t>T</w:t>
      </w:r>
      <w:bookmarkEnd w:id="156"/>
      <w:r w:rsidR="00295DC0" w:rsidRPr="005F4479">
        <w:rPr>
          <w:i w:val="0"/>
          <w:sz w:val="24"/>
        </w:rPr>
        <w:t xml:space="preserve"> </w:t>
      </w:r>
    </w:p>
    <w:p w:rsidR="00295DC0" w:rsidRPr="005F4479" w:rsidRDefault="00295DC0" w:rsidP="005F4479">
      <w:pPr>
        <w:spacing w:line="360" w:lineRule="auto"/>
      </w:pPr>
    </w:p>
    <w:p w:rsidR="00295DC0" w:rsidRPr="005F4479" w:rsidRDefault="00C57552" w:rsidP="005F4479">
      <w:pPr>
        <w:spacing w:line="360" w:lineRule="auto"/>
      </w:pPr>
      <w:r w:rsidRPr="005F4479">
        <w:t>Ændringer i forudsætningerne for budgetperioden har naturligvis også en effekt på Huscompagniets markedsværdi, det fremgår dog tydeligt i skemaet nedenfor, at der ikke er tale om ændringer af samme karakter:</w:t>
      </w:r>
    </w:p>
    <w:p w:rsidR="00197634" w:rsidRPr="005F4479" w:rsidRDefault="00295DC0" w:rsidP="005F4479">
      <w:pPr>
        <w:spacing w:line="360" w:lineRule="auto"/>
        <w:rPr>
          <w:sz w:val="24"/>
        </w:rPr>
      </w:pPr>
      <w:r w:rsidRPr="005F4479">
        <w:rPr>
          <w:noProof/>
          <w:lang w:eastAsia="da-DK"/>
        </w:rPr>
        <w:drawing>
          <wp:inline distT="0" distB="0" distL="0" distR="0" wp14:anchorId="3A669F2F" wp14:editId="0DF59380">
            <wp:extent cx="5759450" cy="127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1278890"/>
                    </a:xfrm>
                    <a:prstGeom prst="rect">
                      <a:avLst/>
                    </a:prstGeom>
                  </pic:spPr>
                </pic:pic>
              </a:graphicData>
            </a:graphic>
          </wp:inline>
        </w:drawing>
      </w:r>
    </w:p>
    <w:p w:rsidR="00217595" w:rsidRPr="005F4479" w:rsidRDefault="00C57552" w:rsidP="005F4479">
      <w:pPr>
        <w:spacing w:line="360" w:lineRule="auto"/>
        <w:rPr>
          <w:sz w:val="24"/>
        </w:rPr>
      </w:pPr>
      <w:r w:rsidRPr="005F4479">
        <w:rPr>
          <w:sz w:val="24"/>
        </w:rPr>
        <w:t>Det gule felt er igen et udtryk for den markedsværdi som blev estimeret for Huscompagniet</w:t>
      </w:r>
      <w:r w:rsidR="00632F5B" w:rsidRPr="005F4479">
        <w:rPr>
          <w:sz w:val="24"/>
        </w:rPr>
        <w:t xml:space="preserve"> i værdiansættelsen. En ændring i den tidligere definerede omsætningsvækstrate (</w:t>
      </w:r>
      <w:r w:rsidR="00174A9E">
        <w:rPr>
          <w:sz w:val="24"/>
        </w:rPr>
        <w:t>se bilag 4</w:t>
      </w:r>
      <w:r w:rsidR="001B5693">
        <w:rPr>
          <w:sz w:val="24"/>
        </w:rPr>
        <w:t xml:space="preserve">) på </w:t>
      </w:r>
      <w:r w:rsidR="00632F5B" w:rsidRPr="005F4479">
        <w:rPr>
          <w:sz w:val="24"/>
        </w:rPr>
        <w:t>2%-point</w:t>
      </w:r>
      <w:r w:rsidR="001B5693">
        <w:rPr>
          <w:sz w:val="24"/>
        </w:rPr>
        <w:t xml:space="preserve"> fra 0% til 2%</w:t>
      </w:r>
      <w:r w:rsidR="00632F5B" w:rsidRPr="005F4479">
        <w:rPr>
          <w:sz w:val="24"/>
        </w:rPr>
        <w:t xml:space="preserve"> vidner om en betragtelig mindre ændring i markedsværdien </w:t>
      </w:r>
      <w:r w:rsidR="001B5693">
        <w:rPr>
          <w:sz w:val="24"/>
        </w:rPr>
        <w:t>på</w:t>
      </w:r>
      <w:r w:rsidR="00382E96" w:rsidRPr="005F4479">
        <w:rPr>
          <w:sz w:val="24"/>
        </w:rPr>
        <w:t xml:space="preserve"> kun 7% mod 30% i terminalperioden for kun 1%-points ændring</w:t>
      </w:r>
      <w:r w:rsidR="00632F5B" w:rsidRPr="005F4479">
        <w:rPr>
          <w:sz w:val="24"/>
        </w:rPr>
        <w:t>.</w:t>
      </w:r>
      <w:r w:rsidR="001B5693">
        <w:rPr>
          <w:sz w:val="24"/>
        </w:rPr>
        <w:t xml:space="preserve"> Det samme gør sig gældende for et fald på 2%-point fra 0%-2%.</w:t>
      </w:r>
      <w:r w:rsidR="00632F5B" w:rsidRPr="005F4479">
        <w:rPr>
          <w:sz w:val="24"/>
        </w:rPr>
        <w:t xml:space="preserve"> </w:t>
      </w:r>
      <w:r w:rsidR="00382E96" w:rsidRPr="005F4479">
        <w:rPr>
          <w:sz w:val="24"/>
        </w:rPr>
        <w:t>En kombination m</w:t>
      </w:r>
      <w:r w:rsidR="005846B2" w:rsidRPr="005F4479">
        <w:rPr>
          <w:sz w:val="24"/>
        </w:rPr>
        <w:t>ellem en stigning i</w:t>
      </w:r>
      <w:r w:rsidR="00382E96" w:rsidRPr="005F4479">
        <w:rPr>
          <w:sz w:val="24"/>
        </w:rPr>
        <w:t xml:space="preserve"> NOPAT ratio på et 1%-point fra 6,35% til 7,35% og et fald i den estimerede omsætningsvækstrate på 2%, fra 0% til -2%, </w:t>
      </w:r>
      <w:r w:rsidR="005846B2" w:rsidRPr="005F4479">
        <w:rPr>
          <w:sz w:val="24"/>
        </w:rPr>
        <w:t>vidner om, at NOPAT ratio også her har en stor indflydelse på udfaldet af markedsværdien,</w:t>
      </w:r>
      <w:r w:rsidR="006352D8">
        <w:rPr>
          <w:sz w:val="24"/>
        </w:rPr>
        <w:t xml:space="preserve"> dog ikke i samme grad som ved terminalperioden,</w:t>
      </w:r>
      <w:r w:rsidR="005846B2" w:rsidRPr="005F4479">
        <w:rPr>
          <w:sz w:val="24"/>
        </w:rPr>
        <w:t xml:space="preserve"> da den i dette tilfælde mødes af en procentvis stigning på 9%. Derved er det altså muligt at konkludere, at bare små ændringer i de valgte forudsætninger har stor betydning for udviklingen i markedsværdien. Markedsværdien vil dog altid være præget mest</w:t>
      </w:r>
      <w:r w:rsidR="007B3D2E" w:rsidRPr="005F4479">
        <w:rPr>
          <w:sz w:val="24"/>
        </w:rPr>
        <w:t xml:space="preserve"> af udvikling af terminalperiod</w:t>
      </w:r>
      <w:r w:rsidR="005846B2" w:rsidRPr="005F4479">
        <w:rPr>
          <w:sz w:val="24"/>
        </w:rPr>
        <w:t xml:space="preserve">en. </w:t>
      </w:r>
    </w:p>
    <w:p w:rsidR="005846B2" w:rsidRPr="005F4479" w:rsidRDefault="005846B2" w:rsidP="005F4479">
      <w:pPr>
        <w:spacing w:line="360" w:lineRule="auto"/>
        <w:rPr>
          <w:sz w:val="24"/>
        </w:rPr>
      </w:pPr>
    </w:p>
    <w:p w:rsidR="004B5EC8" w:rsidRDefault="005846B2" w:rsidP="005F4479">
      <w:pPr>
        <w:spacing w:line="360" w:lineRule="auto"/>
        <w:rPr>
          <w:sz w:val="24"/>
        </w:rPr>
      </w:pPr>
      <w:r w:rsidRPr="005F4479">
        <w:rPr>
          <w:sz w:val="24"/>
        </w:rPr>
        <w:t>Det kan altså konkluderes</w:t>
      </w:r>
      <w:r w:rsidR="0038389F" w:rsidRPr="005F4479">
        <w:rPr>
          <w:sz w:val="24"/>
        </w:rPr>
        <w:t xml:space="preserve"> at den </w:t>
      </w:r>
      <w:r w:rsidRPr="005F4479">
        <w:rPr>
          <w:sz w:val="24"/>
        </w:rPr>
        <w:t>estimerede markedsværdi er meget følsom over</w:t>
      </w:r>
      <w:r w:rsidR="0038389F" w:rsidRPr="005F4479">
        <w:rPr>
          <w:sz w:val="24"/>
        </w:rPr>
        <w:t xml:space="preserve"> </w:t>
      </w:r>
      <w:r w:rsidRPr="005F4479">
        <w:rPr>
          <w:sz w:val="24"/>
        </w:rPr>
        <w:t>for udsving for vækstændringer i terminalperioden og ændring af NOPAT ratio. Desuden tegner føl</w:t>
      </w:r>
      <w:r w:rsidR="002F2E03" w:rsidRPr="005F4479">
        <w:rPr>
          <w:sz w:val="24"/>
        </w:rPr>
        <w:t>somhedsanalysen et billede af at</w:t>
      </w:r>
      <w:r w:rsidRPr="005F4479">
        <w:rPr>
          <w:sz w:val="24"/>
        </w:rPr>
        <w:t xml:space="preserve"> budgetperiode </w:t>
      </w:r>
      <w:r w:rsidR="002F2E03" w:rsidRPr="005F4479">
        <w:rPr>
          <w:sz w:val="24"/>
        </w:rPr>
        <w:t>er forholdsvis</w:t>
      </w:r>
      <w:r w:rsidRPr="005F4479">
        <w:rPr>
          <w:sz w:val="24"/>
        </w:rPr>
        <w:t xml:space="preserve"> mindre følsomhed over for udsving i både NOPAT ratio og ændring i omsætningsvækstraten for budgetperioden. </w:t>
      </w:r>
      <w:r w:rsidR="007B3D2E" w:rsidRPr="005F4479">
        <w:rPr>
          <w:sz w:val="24"/>
        </w:rPr>
        <w:t xml:space="preserve">Vækstraten i terminalperioden vil derfor være den største usikkerhedsfaktor for bestemmelse af markedsværdien for Huscompagniet, da selv små ændringer betyder store prisforskydninger. </w:t>
      </w:r>
      <w:r w:rsidR="002B401A" w:rsidRPr="005F4479">
        <w:rPr>
          <w:sz w:val="24"/>
        </w:rPr>
        <w:t xml:space="preserve">Ovenstående </w:t>
      </w:r>
      <w:r w:rsidR="00245A94" w:rsidRPr="005F4479">
        <w:rPr>
          <w:sz w:val="24"/>
        </w:rPr>
        <w:t>følsomhedsanalyse kan for NCC A</w:t>
      </w:r>
      <w:r w:rsidR="002B401A" w:rsidRPr="005F4479">
        <w:rPr>
          <w:sz w:val="24"/>
        </w:rPr>
        <w:t xml:space="preserve">B fungere som et indblik i, hvordan ændringer i de centrale forudsætninger vil påvirker Huscompagniets </w:t>
      </w:r>
      <w:r w:rsidR="007E33F0" w:rsidRPr="005F4479">
        <w:rPr>
          <w:sz w:val="24"/>
        </w:rPr>
        <w:t>markedsværdi</w:t>
      </w:r>
      <w:r w:rsidR="002B401A" w:rsidRPr="005F4479">
        <w:rPr>
          <w:sz w:val="24"/>
        </w:rPr>
        <w:t xml:space="preserve"> og derved også den opkøbsværdi </w:t>
      </w:r>
      <w:r w:rsidR="002B401A" w:rsidRPr="005F4479">
        <w:rPr>
          <w:sz w:val="24"/>
        </w:rPr>
        <w:lastRenderedPageBreak/>
        <w:t>som koncernen bør forvente at ejeren FSN Capital m. fl. ønsker ved frasalg af Huscompagniet A/S.</w:t>
      </w:r>
    </w:p>
    <w:p w:rsidR="000D2851" w:rsidRPr="005F4479" w:rsidRDefault="000D2851" w:rsidP="005F4479">
      <w:pPr>
        <w:spacing w:line="360" w:lineRule="auto"/>
        <w:rPr>
          <w:sz w:val="24"/>
        </w:rPr>
      </w:pPr>
    </w:p>
    <w:p w:rsidR="00931AF1" w:rsidRPr="005F4479" w:rsidRDefault="00CF321A" w:rsidP="005F4479">
      <w:pPr>
        <w:pStyle w:val="Heading3"/>
        <w:spacing w:line="360" w:lineRule="auto"/>
      </w:pPr>
      <w:bookmarkStart w:id="157" w:name="_Toc411419335"/>
      <w:bookmarkStart w:id="158" w:name="_Toc411420081"/>
      <w:bookmarkStart w:id="159" w:name="_Toc411421056"/>
      <w:bookmarkStart w:id="160" w:name="_Toc411429491"/>
      <w:bookmarkStart w:id="161" w:name="_Toc411429525"/>
      <w:bookmarkStart w:id="162" w:name="_Toc411429608"/>
      <w:bookmarkStart w:id="163" w:name="_Toc411435391"/>
      <w:bookmarkStart w:id="164" w:name="_Toc411437955"/>
      <w:bookmarkStart w:id="165" w:name="_Toc411439345"/>
      <w:bookmarkStart w:id="166" w:name="_Toc411525403"/>
      <w:r w:rsidRPr="005F4479">
        <w:rPr>
          <w:sz w:val="24"/>
        </w:rPr>
        <w:t xml:space="preserve">8. </w:t>
      </w:r>
      <w:r w:rsidR="002900ED" w:rsidRPr="005F4479">
        <w:rPr>
          <w:sz w:val="24"/>
        </w:rPr>
        <w:t>Overvejelse den opkøbende virksomhed bør gøre før et eventuelt opkøb.</w:t>
      </w:r>
      <w:bookmarkEnd w:id="157"/>
      <w:bookmarkEnd w:id="158"/>
      <w:bookmarkEnd w:id="159"/>
      <w:bookmarkEnd w:id="160"/>
      <w:bookmarkEnd w:id="161"/>
      <w:bookmarkEnd w:id="162"/>
      <w:bookmarkEnd w:id="163"/>
      <w:bookmarkEnd w:id="164"/>
      <w:bookmarkEnd w:id="165"/>
      <w:bookmarkEnd w:id="166"/>
    </w:p>
    <w:p w:rsidR="00970462" w:rsidRPr="005F4479" w:rsidRDefault="00970462" w:rsidP="005F4479">
      <w:pPr>
        <w:spacing w:line="360" w:lineRule="auto"/>
        <w:rPr>
          <w:sz w:val="24"/>
        </w:rPr>
      </w:pPr>
    </w:p>
    <w:p w:rsidR="004B5BB3" w:rsidRPr="005F4479" w:rsidRDefault="00970462" w:rsidP="005F4479">
      <w:pPr>
        <w:spacing w:line="360" w:lineRule="auto"/>
        <w:rPr>
          <w:sz w:val="24"/>
        </w:rPr>
      </w:pPr>
      <w:r w:rsidRPr="005F4479">
        <w:rPr>
          <w:sz w:val="24"/>
        </w:rPr>
        <w:t>Den opkøbende virksomhed, i dette tilfælde NCC, bør gøres sig en række overvejelser før</w:t>
      </w:r>
      <w:r w:rsidR="00EA424F" w:rsidRPr="005F4479">
        <w:rPr>
          <w:sz w:val="24"/>
        </w:rPr>
        <w:t xml:space="preserve"> de gennemfører en akkvisitiv </w:t>
      </w:r>
      <w:r w:rsidR="007E33F0" w:rsidRPr="005F4479">
        <w:rPr>
          <w:sz w:val="24"/>
        </w:rPr>
        <w:t>ekspansion på økonomisk såvel som strategisk plan. Først og fremmest er det en likviditet en grundlæggende forudsætning. NCC har i dette tilfælde en fornuftig likviditetsreserve på</w:t>
      </w:r>
      <w:r w:rsidR="00595340" w:rsidRPr="005F4479">
        <w:rPr>
          <w:sz w:val="24"/>
        </w:rPr>
        <w:t xml:space="preserve"> 3548 mio. sek. hvilket næsten tillader NCC, at foretage et opkøb for egne midler. Omvendt er NCC en solid koncern som har en høj rentemarginal på </w:t>
      </w:r>
      <w:r w:rsidR="00032A85" w:rsidRPr="005F4479">
        <w:rPr>
          <w:sz w:val="24"/>
        </w:rPr>
        <w:t xml:space="preserve">gens. 5,89%-point mellem afkastningsgraden og gældsrenten, hvilket tillader dem at </w:t>
      </w:r>
      <w:r w:rsidR="000258D8" w:rsidRPr="005F4479">
        <w:rPr>
          <w:sz w:val="24"/>
        </w:rPr>
        <w:t>tjene på arbejde med gæld. Derfor vil det for NCC være en fornuftig rentabel løsning, at overveje en delvis finansiering vha. af fremmedkapital. Dette sikre også NCC mod at møde</w:t>
      </w:r>
      <w:r w:rsidR="00033300" w:rsidRPr="005F4479">
        <w:rPr>
          <w:sz w:val="24"/>
        </w:rPr>
        <w:t xml:space="preserve"> fremtidige likv</w:t>
      </w:r>
      <w:r w:rsidR="00E26C61" w:rsidRPr="005F4479">
        <w:rPr>
          <w:sz w:val="24"/>
        </w:rPr>
        <w:t xml:space="preserve">iditetsproblem, da likviditetsbeholdningen ikke vil blive udhulet som i tilfældet, hvor opkøbet gøres ud fra egenfinansiering. </w:t>
      </w:r>
      <w:r w:rsidR="00EA424F" w:rsidRPr="005F4479">
        <w:rPr>
          <w:sz w:val="24"/>
        </w:rPr>
        <w:br/>
      </w:r>
    </w:p>
    <w:p w:rsidR="00EA424F" w:rsidRPr="005F4479" w:rsidRDefault="00EA424F" w:rsidP="005F4479">
      <w:pPr>
        <w:spacing w:line="360" w:lineRule="auto"/>
        <w:rPr>
          <w:sz w:val="24"/>
        </w:rPr>
      </w:pPr>
      <w:r w:rsidRPr="005F4479">
        <w:rPr>
          <w:sz w:val="24"/>
        </w:rPr>
        <w:t>Strategisk har NCC også en række ting der bør overveje</w:t>
      </w:r>
      <w:r w:rsidR="00705A01">
        <w:rPr>
          <w:sz w:val="24"/>
        </w:rPr>
        <w:t>s</w:t>
      </w:r>
      <w:r w:rsidRPr="005F4479">
        <w:rPr>
          <w:sz w:val="24"/>
        </w:rPr>
        <w:t xml:space="preserve"> før et opkøb. Først og fremmest er, om Huscompagniet er en virksomhed NCC vil drage nytte af at opkøbe. Derfor er det vigtigt at inddraget ordet synergi. Det er nemlig yderst vigtigt for NCC, at d</w:t>
      </w:r>
      <w:r w:rsidR="00D612A9" w:rsidRPr="005F4479">
        <w:rPr>
          <w:sz w:val="24"/>
        </w:rPr>
        <w:t>er findes en synergi mellem forretningsområder i NCC og Huscompagniet. Sagt med andre ord, om muligheden for at et samspil mellem de to virksomheder, vil afføde en ko</w:t>
      </w:r>
      <w:r w:rsidR="00DF60AA">
        <w:rPr>
          <w:sz w:val="24"/>
        </w:rPr>
        <w:t xml:space="preserve">nkurrencemæssig fordel for begge parter. </w:t>
      </w:r>
    </w:p>
    <w:p w:rsidR="009824AC" w:rsidRPr="005F4479" w:rsidRDefault="009824AC" w:rsidP="005F4479">
      <w:pPr>
        <w:spacing w:line="360" w:lineRule="auto"/>
        <w:rPr>
          <w:sz w:val="24"/>
        </w:rPr>
      </w:pPr>
    </w:p>
    <w:p w:rsidR="00931AF1" w:rsidRPr="005F4479" w:rsidRDefault="00D612A9" w:rsidP="005F4479">
      <w:pPr>
        <w:spacing w:line="360" w:lineRule="auto"/>
        <w:rPr>
          <w:sz w:val="24"/>
        </w:rPr>
      </w:pPr>
      <w:r w:rsidRPr="005F4479">
        <w:rPr>
          <w:sz w:val="24"/>
        </w:rPr>
        <w:t xml:space="preserve">NCC har som tidligere nævnt samarbejdet om et projekt Thorshøj. Det vidner om at NCC Bolig og Huscompagniet allerede på nuværende tidspunkt gør brug af muligheden for </w:t>
      </w:r>
      <w:r w:rsidR="009824AC" w:rsidRPr="005F4479">
        <w:rPr>
          <w:sz w:val="24"/>
        </w:rPr>
        <w:t xml:space="preserve">at skabe synergi virksomhederne imellem. NCC Bolig stået for udbuddet af </w:t>
      </w:r>
      <w:r w:rsidR="008F1764" w:rsidRPr="005F4479">
        <w:rPr>
          <w:sz w:val="24"/>
        </w:rPr>
        <w:t>eksklusive</w:t>
      </w:r>
      <w:r w:rsidR="009824AC" w:rsidRPr="005F4479">
        <w:rPr>
          <w:sz w:val="24"/>
        </w:rPr>
        <w:t xml:space="preserve"> byggegrunde hvorved Huscompagniet således har varetaget alt fra arkitektur til byggeriet af e</w:t>
      </w:r>
      <w:r w:rsidR="00976F78">
        <w:rPr>
          <w:sz w:val="24"/>
        </w:rPr>
        <w:t>n</w:t>
      </w:r>
      <w:r w:rsidR="009824AC" w:rsidRPr="005F4479">
        <w:rPr>
          <w:sz w:val="24"/>
        </w:rPr>
        <w:t>familiehuse. Omvendt kan der være en økonomisk fortjeneste for NCC i, at kun at deltage i et samarbejde og altså ikke være ejer af Huscompagniet. Dog kan der argumenteres for, at NCC har mulighed for at implementere stordriftsfordele i Huscompagniet</w:t>
      </w:r>
      <w:r w:rsidR="00B75EB3" w:rsidRPr="005F4479">
        <w:rPr>
          <w:sz w:val="24"/>
        </w:rPr>
        <w:t xml:space="preserve"> ved opkøb</w:t>
      </w:r>
      <w:r w:rsidR="009824AC" w:rsidRPr="005F4479">
        <w:rPr>
          <w:sz w:val="24"/>
        </w:rPr>
        <w:t xml:space="preserve">, som herved har mulighed for at udbyde produkter til lave, men stadig profitable priser. </w:t>
      </w:r>
      <w:r w:rsidR="00931AF1" w:rsidRPr="005F4479">
        <w:rPr>
          <w:sz w:val="24"/>
        </w:rPr>
        <w:t xml:space="preserve"> </w:t>
      </w:r>
      <w:r w:rsidR="00B75EB3" w:rsidRPr="005F4479">
        <w:rPr>
          <w:sz w:val="24"/>
        </w:rPr>
        <w:t xml:space="preserve">Dette vil altså alt andet lige betyde en vækst </w:t>
      </w:r>
      <w:r w:rsidR="00744241">
        <w:rPr>
          <w:sz w:val="24"/>
        </w:rPr>
        <w:t xml:space="preserve">i </w:t>
      </w:r>
      <w:r w:rsidR="006C45D0">
        <w:rPr>
          <w:sz w:val="24"/>
        </w:rPr>
        <w:t xml:space="preserve">eksempelvis EBIT, </w:t>
      </w:r>
      <w:r w:rsidR="00B75EB3" w:rsidRPr="005F4479">
        <w:rPr>
          <w:sz w:val="24"/>
        </w:rPr>
        <w:t xml:space="preserve">men med stor sandsynlighed også omsætningen, da efterspørgslen vil stige grundet sænkede priser. </w:t>
      </w:r>
    </w:p>
    <w:p w:rsidR="00A01E04" w:rsidRPr="005F4479" w:rsidRDefault="00A01E04" w:rsidP="005F4479">
      <w:pPr>
        <w:spacing w:line="360" w:lineRule="auto"/>
        <w:rPr>
          <w:sz w:val="24"/>
        </w:rPr>
      </w:pPr>
    </w:p>
    <w:p w:rsidR="00A01E04" w:rsidRPr="005F4479" w:rsidRDefault="00A01E04" w:rsidP="005F4479">
      <w:pPr>
        <w:spacing w:line="360" w:lineRule="auto"/>
        <w:rPr>
          <w:sz w:val="24"/>
        </w:rPr>
      </w:pPr>
      <w:r w:rsidRPr="005F4479">
        <w:rPr>
          <w:sz w:val="24"/>
        </w:rPr>
        <w:t xml:space="preserve">Yderligere er der en strategisk overvejelse i, hvordan NCC ønsker at administrere Huscompagniet </w:t>
      </w:r>
      <w:r w:rsidR="009D4500" w:rsidRPr="005F4479">
        <w:rPr>
          <w:sz w:val="24"/>
        </w:rPr>
        <w:t>i fremtid</w:t>
      </w:r>
      <w:r w:rsidRPr="005F4479">
        <w:rPr>
          <w:sz w:val="24"/>
        </w:rPr>
        <w:t>en, herunder om det skal tillægges NCC Bolig, eller fortsætte som ”selvstændigt selskab”</w:t>
      </w:r>
      <w:r w:rsidR="00AB4A77" w:rsidRPr="005F4479">
        <w:rPr>
          <w:sz w:val="24"/>
        </w:rPr>
        <w:t xml:space="preserve">, altså som </w:t>
      </w:r>
      <w:r w:rsidRPr="005F4479">
        <w:rPr>
          <w:sz w:val="24"/>
        </w:rPr>
        <w:t xml:space="preserve">datterselskab. </w:t>
      </w:r>
    </w:p>
    <w:p w:rsidR="00FB6AF6" w:rsidRPr="005F4479" w:rsidRDefault="00256E36" w:rsidP="005F4479">
      <w:pPr>
        <w:spacing w:line="360" w:lineRule="auto"/>
        <w:rPr>
          <w:sz w:val="24"/>
        </w:rPr>
      </w:pPr>
      <w:r w:rsidRPr="005F4479">
        <w:rPr>
          <w:sz w:val="24"/>
        </w:rPr>
        <w:t>NCC</w:t>
      </w:r>
      <w:r w:rsidR="00A01E04" w:rsidRPr="005F4479">
        <w:rPr>
          <w:sz w:val="24"/>
        </w:rPr>
        <w:t xml:space="preserve"> bør desuden gøre sig nogle overvejelser om, hvorledes</w:t>
      </w:r>
      <w:r w:rsidR="009D4500" w:rsidRPr="005F4479">
        <w:rPr>
          <w:sz w:val="24"/>
        </w:rPr>
        <w:t xml:space="preserve"> d</w:t>
      </w:r>
      <w:r w:rsidRPr="005F4479">
        <w:rPr>
          <w:sz w:val="24"/>
        </w:rPr>
        <w:t>e ønsker indrette</w:t>
      </w:r>
      <w:r w:rsidR="009D4500" w:rsidRPr="005F4479">
        <w:rPr>
          <w:sz w:val="24"/>
        </w:rPr>
        <w:t xml:space="preserve"> kapitalstrukturen. Herunder findes, hvor stor en del af værdien som skal finansieres af henholdsvis egenkapital og</w:t>
      </w:r>
      <w:r w:rsidR="00F85ED3" w:rsidRPr="005F4479">
        <w:rPr>
          <w:sz w:val="24"/>
        </w:rPr>
        <w:t xml:space="preserve"> fremmedkapital og desuden om gælden vi</w:t>
      </w:r>
      <w:r w:rsidRPr="005F4479">
        <w:rPr>
          <w:sz w:val="24"/>
        </w:rPr>
        <w:t>l tilgå NCC</w:t>
      </w:r>
      <w:r w:rsidR="00F85ED3" w:rsidRPr="005F4479">
        <w:rPr>
          <w:sz w:val="24"/>
        </w:rPr>
        <w:t xml:space="preserve">, eller det gøres ved </w:t>
      </w:r>
      <w:r w:rsidR="005256F4">
        <w:rPr>
          <w:sz w:val="24"/>
        </w:rPr>
        <w:t>en såkaldt ”d</w:t>
      </w:r>
      <w:r w:rsidR="003E3470" w:rsidRPr="005F4479">
        <w:rPr>
          <w:sz w:val="24"/>
        </w:rPr>
        <w:t xml:space="preserve">ebt </w:t>
      </w:r>
      <w:r w:rsidR="00F85ED3" w:rsidRPr="005F4479">
        <w:rPr>
          <w:sz w:val="24"/>
        </w:rPr>
        <w:t>pushdown</w:t>
      </w:r>
      <w:r w:rsidR="005256F4">
        <w:rPr>
          <w:sz w:val="24"/>
        </w:rPr>
        <w:t>”</w:t>
      </w:r>
      <w:r w:rsidR="00F85ED3" w:rsidRPr="005F4479">
        <w:rPr>
          <w:sz w:val="24"/>
        </w:rPr>
        <w:t>, hvor man vælger at sku</w:t>
      </w:r>
      <w:r w:rsidRPr="005F4479">
        <w:rPr>
          <w:sz w:val="24"/>
        </w:rPr>
        <w:t>bbe gælden ned i Huscompagniet</w:t>
      </w:r>
      <w:r w:rsidR="00F85ED3" w:rsidRPr="005F4479">
        <w:rPr>
          <w:sz w:val="24"/>
        </w:rPr>
        <w:t xml:space="preserve">. Hvis </w:t>
      </w:r>
      <w:r w:rsidR="003E3470" w:rsidRPr="005F4479">
        <w:rPr>
          <w:sz w:val="24"/>
        </w:rPr>
        <w:t xml:space="preserve">dette er tilfældet, </w:t>
      </w:r>
      <w:r w:rsidR="00F85ED3" w:rsidRPr="005F4479">
        <w:rPr>
          <w:sz w:val="24"/>
        </w:rPr>
        <w:t xml:space="preserve">vil der afhængig af kapitalstrukturen, skulle ske en ny estimering af markedsværdien, da de vægtede gennemsnitlige kapitalomkostninger (WACC) har ændret sig mod en større gældsandel. </w:t>
      </w:r>
      <w:r w:rsidR="003E3470" w:rsidRPr="005F4479">
        <w:rPr>
          <w:sz w:val="24"/>
        </w:rPr>
        <w:t>Derved vil markedsværdien også ændres. Naturligvis har NCC</w:t>
      </w:r>
      <w:r w:rsidR="003C5890">
        <w:rPr>
          <w:sz w:val="24"/>
        </w:rPr>
        <w:t>s</w:t>
      </w:r>
      <w:r w:rsidR="003E3470" w:rsidRPr="005F4479">
        <w:rPr>
          <w:sz w:val="24"/>
        </w:rPr>
        <w:t xml:space="preserve"> kommende kapitalstruktur ingen indflydelse på værdiansættelsen af Huscompagniet ved salget, men så snart en debt pushdown er foretaget, vil der gælde en ny værdiansættelse ud fra de nu gældende forudsætninger. </w:t>
      </w:r>
    </w:p>
    <w:p w:rsidR="00FB6AF6" w:rsidRPr="005F4479" w:rsidRDefault="00FB6AF6" w:rsidP="005F4479">
      <w:pPr>
        <w:spacing w:line="360" w:lineRule="auto"/>
        <w:rPr>
          <w:sz w:val="24"/>
        </w:rPr>
      </w:pPr>
    </w:p>
    <w:p w:rsidR="00FB6AF6" w:rsidRPr="005F4479" w:rsidRDefault="00FB6AF6" w:rsidP="005F4479">
      <w:pPr>
        <w:spacing w:line="360" w:lineRule="auto"/>
        <w:rPr>
          <w:sz w:val="24"/>
        </w:rPr>
      </w:pPr>
      <w:r w:rsidRPr="005F4479">
        <w:rPr>
          <w:sz w:val="24"/>
        </w:rPr>
        <w:t xml:space="preserve">Det er altså tydeligt, at NCC bør gøre sig en række overvejelser før opkøb af Huscompagniet, herunder om de ønsker at bære risikoen for, at den pågældende værdiansættelse er bygget på korrekte forudsætninger. Samtidig er der en række strategiske overvejeler om, hvorvidt de kan fortsætte som samarbejdspartnere eller om de skal bringe synergien op på et højere niveau, ved at opkøbe virksomheden, hvilket leder til spørgsmålet om, hvorvidt NCC skal implementere Huscompagniet i deres egen NNC Bolig eller holde det adskilt ved at gøre det til et datterselskab. Afslutningsvis er det nødvendigt at gøre sig nogle overvejelser om den kapitalstruktur de ønsker for opkøbet og om hvorvidt eventuel gæld skal lægges ned i Huscompagniet eller indlægges i NCC koncernen. </w:t>
      </w:r>
    </w:p>
    <w:p w:rsidR="000F5892" w:rsidRPr="005F4479" w:rsidRDefault="000F5892" w:rsidP="005F4479">
      <w:pPr>
        <w:spacing w:line="360" w:lineRule="auto"/>
        <w:rPr>
          <w:sz w:val="24"/>
        </w:rPr>
      </w:pPr>
    </w:p>
    <w:p w:rsidR="00FB768B" w:rsidRPr="005F4479" w:rsidRDefault="005D7867" w:rsidP="005F4479">
      <w:pPr>
        <w:pStyle w:val="Heading2"/>
        <w:spacing w:line="360" w:lineRule="auto"/>
      </w:pPr>
      <w:bookmarkStart w:id="167" w:name="_Toc411435392"/>
      <w:bookmarkStart w:id="168" w:name="_Toc411437956"/>
      <w:bookmarkStart w:id="169" w:name="_Toc411439346"/>
      <w:bookmarkStart w:id="170" w:name="_Toc411525404"/>
      <w:r w:rsidRPr="005F4479">
        <w:t xml:space="preserve">9. </w:t>
      </w:r>
      <w:r w:rsidR="00FB768B" w:rsidRPr="005F4479">
        <w:t>Konklusion</w:t>
      </w:r>
      <w:bookmarkEnd w:id="167"/>
      <w:bookmarkEnd w:id="168"/>
      <w:bookmarkEnd w:id="169"/>
      <w:bookmarkEnd w:id="170"/>
    </w:p>
    <w:p w:rsidR="00FB768B" w:rsidRPr="005F4479" w:rsidRDefault="00FB768B" w:rsidP="005F4479">
      <w:pPr>
        <w:spacing w:line="360" w:lineRule="auto"/>
        <w:rPr>
          <w:sz w:val="24"/>
        </w:rPr>
      </w:pPr>
    </w:p>
    <w:p w:rsidR="00FB768B" w:rsidRPr="005F4479" w:rsidRDefault="00FB768B" w:rsidP="005F4479">
      <w:pPr>
        <w:spacing w:line="360" w:lineRule="auto"/>
        <w:rPr>
          <w:color w:val="000000" w:themeColor="text1"/>
          <w:sz w:val="24"/>
        </w:rPr>
      </w:pPr>
      <w:r w:rsidRPr="005F4479">
        <w:rPr>
          <w:sz w:val="24"/>
        </w:rPr>
        <w:t xml:space="preserve">NCC er en yderst rentabel virksomhed som vha. stabile vækstrater formår at tilfredsstille samtlige interessenter. Deres investeringsvillighed er alfa og omega for deres historiske såvel som fremtidige succes. Koncernen har formået at forbedre samtlige nøgletal med undtagelse af kapitaltilpasningsevne som er forværret ubetydeligt forbindelse med massive investeringer. Desuden vidner NCC’s likviditetsgrad og pengestrømme om deres stærke formået til at overholde </w:t>
      </w:r>
      <w:r w:rsidRPr="005F4479">
        <w:rPr>
          <w:sz w:val="24"/>
        </w:rPr>
        <w:lastRenderedPageBreak/>
        <w:t xml:space="preserve">gældsforpligtelser, hvilket muliggøre at NCC kan opkøbe Huscompagniet, da de kan overholde eventuelle gældsforpligtelser. Markedsværdien af Huscompagniet er </w:t>
      </w:r>
      <w:r w:rsidRPr="005F4479">
        <w:rPr>
          <w:color w:val="000000" w:themeColor="text1"/>
          <w:sz w:val="24"/>
        </w:rPr>
        <w:t xml:space="preserve">3.756.736,32 t.kr og er altså et udtryk for den pris som NCC bør forvente at skulle betale for opkøbet af Huscompagniet. </w:t>
      </w:r>
    </w:p>
    <w:p w:rsidR="00FB768B" w:rsidRPr="005F4479" w:rsidRDefault="00FB768B" w:rsidP="005F4479">
      <w:pPr>
        <w:spacing w:line="360" w:lineRule="auto"/>
        <w:rPr>
          <w:color w:val="000000" w:themeColor="text1"/>
          <w:sz w:val="24"/>
        </w:rPr>
      </w:pPr>
    </w:p>
    <w:p w:rsidR="00FB768B" w:rsidRPr="005F4479" w:rsidRDefault="00FB768B" w:rsidP="005F4479">
      <w:pPr>
        <w:spacing w:line="360" w:lineRule="auto"/>
        <w:rPr>
          <w:color w:val="000000" w:themeColor="text1"/>
          <w:sz w:val="24"/>
        </w:rPr>
      </w:pPr>
      <w:r w:rsidRPr="005F4479">
        <w:rPr>
          <w:color w:val="000000" w:themeColor="text1"/>
          <w:sz w:val="24"/>
        </w:rPr>
        <w:t>Det blev i diskussion gjort klart, at den estimerede markedsværdi er fuldt afhængig af de forudsætninger som sættes for værdiansættelsen. Vækstraten i terminalperioden er den alt afgørende faktor for udviklingen i markedsværdien, netop fordi at terminalperioden er en perpetuitet og Huscompagniet derfor ”alt andet lige” vil fortsætte i al evighed. Markedsværdien er altså meget følsom i terminalperioden, hvorimod at vækstraten i budgetperioden kun i min</w:t>
      </w:r>
      <w:r w:rsidR="00CE43E3">
        <w:rPr>
          <w:color w:val="000000" w:themeColor="text1"/>
          <w:sz w:val="24"/>
        </w:rPr>
        <w:t xml:space="preserve">dre grad påvirkes af ændringer og det bør derfor fra NCCs side overvejes, hvorvidt de ved et opkøb ønsker at løbe denne risiko. </w:t>
      </w:r>
    </w:p>
    <w:p w:rsidR="00FB768B" w:rsidRPr="005F4479" w:rsidRDefault="00FB768B" w:rsidP="005F4479">
      <w:pPr>
        <w:spacing w:line="360" w:lineRule="auto"/>
        <w:rPr>
          <w:color w:val="000000" w:themeColor="text1"/>
          <w:sz w:val="24"/>
        </w:rPr>
      </w:pPr>
      <w:r w:rsidRPr="005F4479">
        <w:rPr>
          <w:color w:val="000000" w:themeColor="text1"/>
          <w:sz w:val="24"/>
        </w:rPr>
        <w:br/>
        <w:t>NCC bør gennemgå en række overvejelser før opkøb, herunder om et opkøb vil skabe større synergi end det nuværende samarbejde. Ved opkøbet er det essentielt at spørge sig selv, hvorledes kapitalstrukturen skal indrettes, altså hvor stor en del skal være henholdsvis fremmed- og egenkapital og sidst men ikke mindst, hvordan NCC ønsker at placere Huscompagniet i deres koncern, som datterselskab eller implementeres i NCC Bolig. Ydermere er det nødvendigt at gøre sig en række overvejelser om gældens skal presses ned i virksomheden eller indlægges NCC koncernen. I tilfælde af debt pushdown vil der efter opkøbet ske en værdiændring som et resultat af ændring af kapitalstrukturen og derved WACC’en.</w:t>
      </w:r>
    </w:p>
    <w:p w:rsidR="000F5892" w:rsidRDefault="000F5892" w:rsidP="005F4479">
      <w:pPr>
        <w:pStyle w:val="Heading2"/>
        <w:spacing w:line="360" w:lineRule="auto"/>
      </w:pPr>
      <w:bookmarkStart w:id="171" w:name="_Toc411435393"/>
      <w:bookmarkStart w:id="172" w:name="_Toc411437957"/>
      <w:bookmarkStart w:id="173" w:name="_Toc411439347"/>
      <w:bookmarkStart w:id="174" w:name="_Toc411525405"/>
    </w:p>
    <w:p w:rsidR="00FB768B" w:rsidRPr="005F4479" w:rsidRDefault="005D7867" w:rsidP="005F4479">
      <w:pPr>
        <w:pStyle w:val="Heading2"/>
        <w:spacing w:line="360" w:lineRule="auto"/>
      </w:pPr>
      <w:r w:rsidRPr="005F4479">
        <w:t xml:space="preserve">10. </w:t>
      </w:r>
      <w:r w:rsidR="00FB768B" w:rsidRPr="005F4479">
        <w:t>Metodekritik</w:t>
      </w:r>
      <w:bookmarkEnd w:id="171"/>
      <w:bookmarkEnd w:id="172"/>
      <w:bookmarkEnd w:id="173"/>
      <w:bookmarkEnd w:id="174"/>
    </w:p>
    <w:p w:rsidR="00FB768B" w:rsidRPr="005F4479" w:rsidRDefault="00FB768B" w:rsidP="005F4479">
      <w:pPr>
        <w:spacing w:line="360" w:lineRule="auto"/>
      </w:pPr>
    </w:p>
    <w:p w:rsidR="00FB768B" w:rsidRPr="00194C0C" w:rsidRDefault="00FB768B" w:rsidP="005F4479">
      <w:pPr>
        <w:spacing w:line="360" w:lineRule="auto"/>
        <w:rPr>
          <w:sz w:val="24"/>
        </w:rPr>
      </w:pPr>
      <w:r w:rsidRPr="00194C0C">
        <w:rPr>
          <w:sz w:val="24"/>
        </w:rPr>
        <w:t>Enhver værdiansættelse er et resultat af de forudsætninger den enkelte analytiker sætter for værdiansættelsen. Fordelene ved en værdiansættelse er således, at analytikeren/virksomheden får en ide om, hvad d</w:t>
      </w:r>
      <w:r w:rsidR="00FA362F">
        <w:rPr>
          <w:sz w:val="24"/>
        </w:rPr>
        <w:t>en reelle værdi af virksomheden.</w:t>
      </w:r>
      <w:r w:rsidRPr="00194C0C">
        <w:rPr>
          <w:sz w:val="24"/>
        </w:rPr>
        <w:t xml:space="preserve"> Omvendt fremgår det tydeligt i følsomhedsanalysen, at ændring i små forudsætninger genere vidt forskellige resulta</w:t>
      </w:r>
      <w:r w:rsidR="005A2B64">
        <w:rPr>
          <w:sz w:val="24"/>
        </w:rPr>
        <w:t>ter, hvorfor DCF-modellen i</w:t>
      </w:r>
      <w:r w:rsidRPr="00194C0C">
        <w:rPr>
          <w:sz w:val="24"/>
        </w:rPr>
        <w:t xml:space="preserve"> praksis altid bør gå hånd i hånd md andre værdiansættelsesmetoder. Således får analytikeren er mere korrekt resultat som bedre afspejler den virkelige værdi, end hvis DCF-modellen stod alene. </w:t>
      </w:r>
    </w:p>
    <w:p w:rsidR="00EE5670" w:rsidRPr="005F4479" w:rsidRDefault="00EE5670" w:rsidP="005F4479">
      <w:pPr>
        <w:spacing w:line="360" w:lineRule="auto"/>
        <w:rPr>
          <w:sz w:val="24"/>
        </w:rPr>
      </w:pPr>
    </w:p>
    <w:p w:rsidR="00E440CC" w:rsidRPr="00CC1C5D" w:rsidRDefault="005D7867" w:rsidP="005F4479">
      <w:pPr>
        <w:pStyle w:val="Heading2"/>
        <w:spacing w:line="360" w:lineRule="auto"/>
        <w:rPr>
          <w:sz w:val="32"/>
        </w:rPr>
      </w:pPr>
      <w:bookmarkStart w:id="175" w:name="_Toc411525406"/>
      <w:r w:rsidRPr="00CC1C5D">
        <w:rPr>
          <w:sz w:val="32"/>
        </w:rPr>
        <w:lastRenderedPageBreak/>
        <w:t>11. Litteraturliste</w:t>
      </w:r>
      <w:bookmarkEnd w:id="175"/>
    </w:p>
    <w:p w:rsidR="00CC1C5D" w:rsidRDefault="00CC1C5D" w:rsidP="00CC1C5D"/>
    <w:p w:rsidR="00CC1C5D" w:rsidRDefault="00CC1C5D" w:rsidP="00CC1C5D">
      <w:pPr>
        <w:rPr>
          <w:b/>
        </w:rPr>
      </w:pPr>
      <w:r w:rsidRPr="00CC1C5D">
        <w:rPr>
          <w:b/>
        </w:rPr>
        <w:t>Bøger</w:t>
      </w:r>
      <w:r>
        <w:rPr>
          <w:b/>
        </w:rPr>
        <w:t xml:space="preserve"> (A-Å)</w:t>
      </w:r>
      <w:r w:rsidRPr="00CC1C5D">
        <w:rPr>
          <w:b/>
        </w:rPr>
        <w:t xml:space="preserve">: </w:t>
      </w:r>
    </w:p>
    <w:p w:rsidR="00F5133B" w:rsidRPr="00173198" w:rsidRDefault="00F5133B" w:rsidP="00CC1C5D">
      <w:pPr>
        <w:rPr>
          <w:b/>
          <w:sz w:val="24"/>
        </w:rPr>
      </w:pPr>
    </w:p>
    <w:p w:rsidR="00F5133B" w:rsidRPr="00173198" w:rsidRDefault="00F5133B" w:rsidP="00F5133B">
      <w:pPr>
        <w:rPr>
          <w:b/>
          <w:sz w:val="24"/>
        </w:rPr>
      </w:pPr>
      <w:r w:rsidRPr="00173198">
        <w:rPr>
          <w:color w:val="000000"/>
          <w:sz w:val="24"/>
        </w:rPr>
        <w:t xml:space="preserve">Bang, Knud Erik m.fl.: Virksomhedsøkonomi A1. Systime, 2010. Internetadresse: </w:t>
      </w:r>
      <w:hyperlink r:id="rId23" w:history="1">
        <w:r w:rsidRPr="00173198">
          <w:rPr>
            <w:rStyle w:val="Hyperlink"/>
            <w:sz w:val="24"/>
          </w:rPr>
          <w:t>http://voa1.systime.dk/index.php?id=813</w:t>
        </w:r>
      </w:hyperlink>
      <w:r w:rsidR="003E3827">
        <w:rPr>
          <w:color w:val="000000"/>
          <w:sz w:val="24"/>
        </w:rPr>
        <w:t xml:space="preserve">. </w:t>
      </w:r>
      <w:r w:rsidRPr="00173198">
        <w:rPr>
          <w:color w:val="000000"/>
          <w:sz w:val="24"/>
        </w:rPr>
        <w:t>- Besøgt d. 04.02.2015 (EBog)</w:t>
      </w:r>
    </w:p>
    <w:p w:rsidR="00F5133B" w:rsidRDefault="00F5133B" w:rsidP="00CC1C5D">
      <w:pPr>
        <w:rPr>
          <w:b/>
        </w:rPr>
      </w:pPr>
    </w:p>
    <w:p w:rsidR="00F5133B" w:rsidRDefault="00F5133B" w:rsidP="00F5133B">
      <w:pPr>
        <w:rPr>
          <w:color w:val="000000"/>
          <w:sz w:val="24"/>
        </w:rPr>
      </w:pPr>
      <w:r w:rsidRPr="001320D0">
        <w:rPr>
          <w:color w:val="000000"/>
          <w:sz w:val="24"/>
        </w:rPr>
        <w:t>Fryd, Ejner: Special Ordbog revision. 3. udg. FSR's Forlag, 1987. (Bog)</w:t>
      </w:r>
    </w:p>
    <w:p w:rsidR="00F5133B" w:rsidRDefault="00F5133B" w:rsidP="00CC1C5D">
      <w:pPr>
        <w:rPr>
          <w:b/>
        </w:rPr>
      </w:pPr>
    </w:p>
    <w:p w:rsidR="00CC1C5D" w:rsidRDefault="00F6056A" w:rsidP="00CC1C5D">
      <w:pPr>
        <w:rPr>
          <w:color w:val="000000"/>
          <w:sz w:val="24"/>
        </w:rPr>
      </w:pPr>
      <w:r w:rsidRPr="00432F12">
        <w:rPr>
          <w:color w:val="000000"/>
          <w:sz w:val="24"/>
        </w:rPr>
        <w:t>Hansen, Lone m.fl.: Økonomisk styring og virksomhedsanalyse. 5. udg. Hans Reitzels forlag, 2013. (Bog)</w:t>
      </w:r>
    </w:p>
    <w:p w:rsidR="00173198" w:rsidRDefault="00173198" w:rsidP="00CC1C5D">
      <w:pPr>
        <w:rPr>
          <w:color w:val="000000"/>
          <w:sz w:val="24"/>
        </w:rPr>
      </w:pPr>
    </w:p>
    <w:p w:rsidR="00173198" w:rsidRPr="00EF2A5B" w:rsidRDefault="00173198" w:rsidP="00CC1C5D">
      <w:pPr>
        <w:rPr>
          <w:color w:val="000000"/>
          <w:sz w:val="24"/>
          <w:lang w:val="en-US"/>
        </w:rPr>
      </w:pPr>
      <w:r w:rsidRPr="00173198">
        <w:rPr>
          <w:color w:val="000000"/>
          <w:sz w:val="24"/>
        </w:rPr>
        <w:t xml:space="preserve">Hassing, Jeanette m.fl.: HHX-Håndbogen. </w:t>
      </w:r>
      <w:r w:rsidRPr="00EF2A5B">
        <w:rPr>
          <w:color w:val="000000"/>
          <w:sz w:val="24"/>
          <w:lang w:val="en-US"/>
        </w:rPr>
        <w:t>1. udg. Systime, 2019. (Bog)</w:t>
      </w:r>
    </w:p>
    <w:p w:rsidR="00F6056A" w:rsidRPr="00EF2A5B" w:rsidRDefault="00F6056A" w:rsidP="00CC1C5D">
      <w:pPr>
        <w:rPr>
          <w:color w:val="000000"/>
          <w:sz w:val="24"/>
          <w:lang w:val="en-US"/>
        </w:rPr>
      </w:pPr>
    </w:p>
    <w:p w:rsidR="00F6056A" w:rsidRPr="00432F12" w:rsidRDefault="00F6056A" w:rsidP="00CC1C5D">
      <w:pPr>
        <w:rPr>
          <w:color w:val="000000"/>
          <w:sz w:val="24"/>
          <w:lang w:val="en-US"/>
        </w:rPr>
      </w:pPr>
      <w:r w:rsidRPr="00432F12">
        <w:rPr>
          <w:color w:val="000000"/>
          <w:sz w:val="24"/>
          <w:lang w:val="en-US"/>
        </w:rPr>
        <w:t>Koller, Tim m.fl.: Valuation - Mckinsey &amp; Company. 5. udg. John Wiley &amp; Sons, 2010. (Bog)</w:t>
      </w:r>
    </w:p>
    <w:p w:rsidR="00F6056A" w:rsidRPr="00432F12" w:rsidRDefault="00F6056A" w:rsidP="00CC1C5D">
      <w:pPr>
        <w:rPr>
          <w:color w:val="000000"/>
          <w:sz w:val="24"/>
          <w:lang w:val="en-US"/>
        </w:rPr>
      </w:pPr>
    </w:p>
    <w:p w:rsidR="00F6056A" w:rsidRPr="00432F12" w:rsidRDefault="00F6056A" w:rsidP="00CC1C5D">
      <w:pPr>
        <w:rPr>
          <w:color w:val="000000"/>
          <w:sz w:val="24"/>
          <w:lang w:val="en-US"/>
        </w:rPr>
      </w:pPr>
      <w:r w:rsidRPr="00432F12">
        <w:rPr>
          <w:color w:val="000000"/>
          <w:sz w:val="24"/>
          <w:lang w:val="en-US"/>
        </w:rPr>
        <w:t xml:space="preserve">Petersen, Christian V. og Thomas Plenborg: Financial Statement Analysis . 1. udg. Financial </w:t>
      </w:r>
    </w:p>
    <w:p w:rsidR="00F6056A" w:rsidRPr="00EF2A5B" w:rsidRDefault="00F6056A" w:rsidP="00CC1C5D">
      <w:pPr>
        <w:rPr>
          <w:color w:val="000000"/>
          <w:sz w:val="24"/>
        </w:rPr>
      </w:pPr>
      <w:r w:rsidRPr="00432F12">
        <w:rPr>
          <w:color w:val="000000"/>
          <w:sz w:val="24"/>
          <w:lang w:val="en-US"/>
        </w:rPr>
        <w:t xml:space="preserve">Times Prentice Hall, 2012. </w:t>
      </w:r>
      <w:r w:rsidRPr="00EF2A5B">
        <w:rPr>
          <w:color w:val="000000"/>
          <w:sz w:val="24"/>
        </w:rPr>
        <w:t>(Bog)</w:t>
      </w:r>
    </w:p>
    <w:p w:rsidR="00F6056A" w:rsidRPr="00EF2A5B" w:rsidRDefault="00F6056A" w:rsidP="00CC1C5D">
      <w:pPr>
        <w:rPr>
          <w:sz w:val="28"/>
        </w:rPr>
      </w:pPr>
    </w:p>
    <w:p w:rsidR="00F6056A" w:rsidRPr="00EF2A5B" w:rsidRDefault="00F6056A" w:rsidP="00CC1C5D">
      <w:pPr>
        <w:rPr>
          <w:sz w:val="28"/>
        </w:rPr>
      </w:pPr>
      <w:r w:rsidRPr="00432F12">
        <w:rPr>
          <w:color w:val="000000"/>
          <w:sz w:val="24"/>
        </w:rPr>
        <w:t>Schack, Bent : Regnskabsanalyse og Virksomhedsbedømmelse . 4. udg. Jurist- og Økonomforbundets Forlag, 2009. (Bog)</w:t>
      </w:r>
    </w:p>
    <w:p w:rsidR="000F5892" w:rsidRDefault="000F5892" w:rsidP="00CC1C5D">
      <w:pPr>
        <w:rPr>
          <w:b/>
          <w:color w:val="000000"/>
          <w:sz w:val="24"/>
        </w:rPr>
      </w:pPr>
    </w:p>
    <w:p w:rsidR="001320D0" w:rsidRDefault="001320D0" w:rsidP="00CC1C5D">
      <w:pPr>
        <w:rPr>
          <w:b/>
          <w:color w:val="000000"/>
          <w:sz w:val="24"/>
        </w:rPr>
      </w:pPr>
      <w:r>
        <w:rPr>
          <w:b/>
          <w:color w:val="000000"/>
          <w:sz w:val="24"/>
        </w:rPr>
        <w:t>Internet</w:t>
      </w:r>
      <w:r w:rsidR="007F7A69">
        <w:rPr>
          <w:b/>
          <w:color w:val="000000"/>
          <w:sz w:val="24"/>
        </w:rPr>
        <w:t xml:space="preserve"> (A</w:t>
      </w:r>
      <w:r>
        <w:rPr>
          <w:b/>
          <w:color w:val="000000"/>
          <w:sz w:val="24"/>
        </w:rPr>
        <w:t xml:space="preserve">-Å) : </w:t>
      </w:r>
    </w:p>
    <w:p w:rsidR="00584DD0" w:rsidRPr="002652D8" w:rsidRDefault="00584DD0" w:rsidP="00CC1C5D">
      <w:pPr>
        <w:rPr>
          <w:b/>
          <w:color w:val="000000"/>
          <w:sz w:val="24"/>
          <w:szCs w:val="24"/>
        </w:rPr>
      </w:pPr>
    </w:p>
    <w:p w:rsidR="001320D0" w:rsidRPr="002652D8" w:rsidRDefault="001320D0" w:rsidP="00CC1C5D">
      <w:pPr>
        <w:rPr>
          <w:sz w:val="24"/>
          <w:szCs w:val="24"/>
        </w:rPr>
      </w:pPr>
      <w:r w:rsidRPr="002652D8">
        <w:rPr>
          <w:color w:val="000000"/>
          <w:sz w:val="24"/>
          <w:szCs w:val="24"/>
        </w:rPr>
        <w:t>10-årig statsobligation. Udgivet af Danmarks Statistik. Internetadresse:</w:t>
      </w:r>
      <w:r w:rsidRPr="002652D8">
        <w:rPr>
          <w:color w:val="0000FF"/>
          <w:sz w:val="24"/>
          <w:szCs w:val="24"/>
          <w:u w:val="single"/>
        </w:rPr>
        <w:t>http://www.statistikbanken.dk/Statbank5a/SelectVarVal/saveselections.asp</w:t>
      </w:r>
      <w:r w:rsidRPr="002652D8">
        <w:rPr>
          <w:rStyle w:val="apple-converted-space"/>
          <w:color w:val="000000"/>
          <w:sz w:val="24"/>
          <w:szCs w:val="24"/>
        </w:rPr>
        <w:t> </w:t>
      </w:r>
      <w:r w:rsidRPr="002652D8">
        <w:rPr>
          <w:color w:val="000000"/>
          <w:sz w:val="24"/>
          <w:szCs w:val="24"/>
        </w:rPr>
        <w:t>- Besøgt d. 08.02.2015 (Internet)</w:t>
      </w:r>
    </w:p>
    <w:p w:rsidR="00CC1C5D" w:rsidRPr="002652D8" w:rsidRDefault="00CC1C5D" w:rsidP="00CC1C5D">
      <w:pPr>
        <w:rPr>
          <w:sz w:val="24"/>
          <w:szCs w:val="24"/>
        </w:rPr>
      </w:pPr>
    </w:p>
    <w:p w:rsidR="00584DD0" w:rsidRPr="002652D8" w:rsidRDefault="00584DD0" w:rsidP="00584DD0">
      <w:pPr>
        <w:rPr>
          <w:color w:val="000000"/>
          <w:sz w:val="24"/>
          <w:szCs w:val="24"/>
        </w:rPr>
      </w:pPr>
      <w:r w:rsidRPr="002652D8">
        <w:rPr>
          <w:color w:val="000000"/>
          <w:sz w:val="24"/>
          <w:szCs w:val="24"/>
        </w:rPr>
        <w:t>Landstal for den samlede byggeaktivitet (ikke korrigeret for forsinkelser) efter byggefase, anvendelse og bygherreforhold. Udgivet af Danmarks Statistik. Internetadresse:</w:t>
      </w:r>
      <w:r w:rsidRPr="002652D8">
        <w:rPr>
          <w:rStyle w:val="apple-converted-space"/>
          <w:color w:val="000000"/>
          <w:sz w:val="24"/>
          <w:szCs w:val="24"/>
        </w:rPr>
        <w:t> </w:t>
      </w:r>
      <w:r w:rsidRPr="002652D8">
        <w:rPr>
          <w:color w:val="0000FF"/>
          <w:sz w:val="24"/>
          <w:szCs w:val="24"/>
          <w:u w:val="single"/>
        </w:rPr>
        <w:t>http://www.statistikbanken.dk/BYGV01</w:t>
      </w:r>
      <w:r w:rsidRPr="002652D8">
        <w:rPr>
          <w:rStyle w:val="apple-converted-space"/>
          <w:color w:val="000000"/>
          <w:sz w:val="24"/>
          <w:szCs w:val="24"/>
        </w:rPr>
        <w:t> </w:t>
      </w:r>
      <w:r w:rsidRPr="002652D8">
        <w:rPr>
          <w:color w:val="000000"/>
          <w:sz w:val="24"/>
          <w:szCs w:val="24"/>
        </w:rPr>
        <w:t>- Besøgt d. 10.02.2015 (Internet)</w:t>
      </w:r>
    </w:p>
    <w:p w:rsidR="00584DD0" w:rsidRPr="002652D8" w:rsidRDefault="00584DD0" w:rsidP="00CC1C5D">
      <w:pPr>
        <w:rPr>
          <w:sz w:val="24"/>
          <w:szCs w:val="24"/>
        </w:rPr>
      </w:pPr>
    </w:p>
    <w:p w:rsidR="002652D8" w:rsidRPr="002652D8" w:rsidRDefault="002652D8" w:rsidP="00CC1C5D">
      <w:pPr>
        <w:rPr>
          <w:color w:val="000000"/>
          <w:sz w:val="24"/>
          <w:szCs w:val="24"/>
        </w:rPr>
      </w:pPr>
      <w:r w:rsidRPr="002652D8">
        <w:rPr>
          <w:color w:val="000000"/>
          <w:sz w:val="24"/>
          <w:szCs w:val="24"/>
        </w:rPr>
        <w:t>Selskabsskattesatser i EU-landene 1995-2014. Udgivet af skatteministeriet. Internetadresse:</w:t>
      </w:r>
      <w:r w:rsidRPr="002652D8">
        <w:rPr>
          <w:color w:val="0000FF"/>
          <w:sz w:val="24"/>
          <w:szCs w:val="24"/>
          <w:u w:val="single"/>
        </w:rPr>
        <w:t>http://www.skm.dk/skattetal/statistik/generel-skattestatistik/selskabsskattesatser-i-eu-landene-1995-2014/</w:t>
      </w:r>
      <w:r w:rsidRPr="002652D8">
        <w:rPr>
          <w:rStyle w:val="apple-converted-space"/>
          <w:color w:val="000000"/>
          <w:sz w:val="24"/>
          <w:szCs w:val="24"/>
        </w:rPr>
        <w:t> </w:t>
      </w:r>
      <w:r w:rsidRPr="002652D8">
        <w:rPr>
          <w:color w:val="000000"/>
          <w:sz w:val="24"/>
          <w:szCs w:val="24"/>
        </w:rPr>
        <w:t>- Besøgt d. 08.02.2015 (Internet)</w:t>
      </w:r>
    </w:p>
    <w:p w:rsidR="002652D8" w:rsidRPr="002652D8" w:rsidRDefault="002652D8" w:rsidP="00CC1C5D">
      <w:pPr>
        <w:rPr>
          <w:sz w:val="24"/>
          <w:szCs w:val="24"/>
        </w:rPr>
      </w:pPr>
    </w:p>
    <w:p w:rsidR="001320D0" w:rsidRPr="002652D8" w:rsidRDefault="00584DD0" w:rsidP="00CC1C5D">
      <w:pPr>
        <w:rPr>
          <w:color w:val="000000"/>
          <w:sz w:val="24"/>
          <w:szCs w:val="24"/>
        </w:rPr>
      </w:pPr>
      <w:r w:rsidRPr="002652D8">
        <w:rPr>
          <w:color w:val="000000"/>
          <w:sz w:val="24"/>
          <w:szCs w:val="24"/>
        </w:rPr>
        <w:t>Thorshøj, Niverød . Udgivet af NCC Bolig. Internetadresse:</w:t>
      </w:r>
      <w:r w:rsidRPr="002652D8">
        <w:rPr>
          <w:rStyle w:val="apple-converted-space"/>
          <w:color w:val="000000"/>
          <w:sz w:val="24"/>
          <w:szCs w:val="24"/>
        </w:rPr>
        <w:t> </w:t>
      </w:r>
      <w:r w:rsidRPr="002652D8">
        <w:rPr>
          <w:color w:val="0000FF"/>
          <w:sz w:val="24"/>
          <w:szCs w:val="24"/>
          <w:u w:val="single"/>
        </w:rPr>
        <w:t>http://www.ncc.dk/ledige-boliger/sog-bolig/niverod/thorshoj/</w:t>
      </w:r>
      <w:r w:rsidRPr="002652D8">
        <w:rPr>
          <w:rStyle w:val="apple-converted-space"/>
          <w:color w:val="000000"/>
          <w:sz w:val="24"/>
          <w:szCs w:val="24"/>
        </w:rPr>
        <w:t> </w:t>
      </w:r>
      <w:r w:rsidRPr="002652D8">
        <w:rPr>
          <w:color w:val="000000"/>
          <w:sz w:val="24"/>
          <w:szCs w:val="24"/>
        </w:rPr>
        <w:t>- Besøgt d. 08.02.2015 (Internet)</w:t>
      </w:r>
    </w:p>
    <w:p w:rsidR="00584DD0" w:rsidRDefault="00584DD0" w:rsidP="00CC1C5D">
      <w:pPr>
        <w:rPr>
          <w:rFonts w:ascii="Verdana" w:hAnsi="Verdana"/>
          <w:color w:val="000000"/>
          <w:sz w:val="20"/>
        </w:rPr>
      </w:pPr>
    </w:p>
    <w:p w:rsidR="00584DD0" w:rsidRPr="001320D0" w:rsidRDefault="00584DD0" w:rsidP="00CC1C5D">
      <w:pPr>
        <w:rPr>
          <w:sz w:val="28"/>
        </w:rPr>
      </w:pPr>
    </w:p>
    <w:p w:rsidR="005D7867" w:rsidRPr="00CC1C5D" w:rsidRDefault="005D7867" w:rsidP="005F4479">
      <w:pPr>
        <w:pStyle w:val="Heading2"/>
        <w:spacing w:line="360" w:lineRule="auto"/>
        <w:rPr>
          <w:sz w:val="32"/>
        </w:rPr>
      </w:pPr>
      <w:bookmarkStart w:id="176" w:name="_Toc411525407"/>
      <w:r w:rsidRPr="00CC1C5D">
        <w:rPr>
          <w:sz w:val="32"/>
        </w:rPr>
        <w:t>12. Bilag</w:t>
      </w:r>
      <w:bookmarkEnd w:id="176"/>
    </w:p>
    <w:p w:rsidR="005D7867" w:rsidRDefault="00023532" w:rsidP="005F4479">
      <w:pPr>
        <w:spacing w:line="360" w:lineRule="auto"/>
        <w:rPr>
          <w:b/>
          <w:sz w:val="28"/>
        </w:rPr>
      </w:pPr>
      <w:r>
        <w:rPr>
          <w:b/>
          <w:sz w:val="28"/>
        </w:rPr>
        <w:t>B</w:t>
      </w:r>
      <w:r w:rsidR="005D7867" w:rsidRPr="000513EE">
        <w:rPr>
          <w:b/>
          <w:sz w:val="28"/>
        </w:rPr>
        <w:t>ilagsoversigt:</w:t>
      </w:r>
    </w:p>
    <w:p w:rsidR="000513EE" w:rsidRPr="00023532" w:rsidRDefault="000513EE" w:rsidP="00023532">
      <w:pPr>
        <w:pStyle w:val="ListParagraph"/>
        <w:numPr>
          <w:ilvl w:val="0"/>
          <w:numId w:val="12"/>
        </w:numPr>
        <w:spacing w:line="360" w:lineRule="auto"/>
        <w:rPr>
          <w:color w:val="000000"/>
          <w:sz w:val="24"/>
          <w:szCs w:val="24"/>
          <w:shd w:val="clear" w:color="auto" w:fill="FFFFFF"/>
        </w:rPr>
      </w:pPr>
      <w:r w:rsidRPr="00023532">
        <w:rPr>
          <w:b/>
          <w:color w:val="000000"/>
          <w:sz w:val="24"/>
          <w:szCs w:val="24"/>
          <w:shd w:val="clear" w:color="auto" w:fill="FFFFFF"/>
        </w:rPr>
        <w:t xml:space="preserve">Bilag 1: </w:t>
      </w:r>
      <w:r w:rsidRPr="00023532">
        <w:rPr>
          <w:color w:val="000000"/>
          <w:sz w:val="24"/>
          <w:szCs w:val="24"/>
          <w:shd w:val="clear" w:color="auto" w:fill="FFFFFF"/>
        </w:rPr>
        <w:t xml:space="preserve">Nøgletal fra resultat- og balanceopgørelsen. </w:t>
      </w:r>
    </w:p>
    <w:p w:rsidR="00A8406F" w:rsidRPr="00023532" w:rsidRDefault="00A8406F" w:rsidP="00023532">
      <w:pPr>
        <w:pStyle w:val="ListParagraph"/>
        <w:numPr>
          <w:ilvl w:val="0"/>
          <w:numId w:val="12"/>
        </w:numPr>
        <w:spacing w:line="360" w:lineRule="auto"/>
        <w:rPr>
          <w:b/>
          <w:color w:val="000000"/>
          <w:sz w:val="24"/>
          <w:szCs w:val="24"/>
          <w:shd w:val="clear" w:color="auto" w:fill="FFFFFF"/>
        </w:rPr>
      </w:pPr>
      <w:r w:rsidRPr="00023532">
        <w:rPr>
          <w:b/>
          <w:color w:val="000000"/>
          <w:sz w:val="24"/>
          <w:szCs w:val="24"/>
          <w:shd w:val="clear" w:color="auto" w:fill="FFFFFF"/>
        </w:rPr>
        <w:t xml:space="preserve">Bilag 2: </w:t>
      </w:r>
      <w:r w:rsidRPr="00023532">
        <w:rPr>
          <w:color w:val="000000"/>
          <w:sz w:val="24"/>
          <w:szCs w:val="24"/>
          <w:shd w:val="clear" w:color="auto" w:fill="FFFFFF"/>
        </w:rPr>
        <w:t>Oversættelse af poster i NCCs regnskab</w:t>
      </w:r>
    </w:p>
    <w:p w:rsidR="00023532" w:rsidRPr="00023532" w:rsidRDefault="00023532" w:rsidP="00023532">
      <w:pPr>
        <w:pStyle w:val="ListParagraph"/>
        <w:numPr>
          <w:ilvl w:val="0"/>
          <w:numId w:val="12"/>
        </w:numPr>
        <w:spacing w:line="360" w:lineRule="auto"/>
        <w:rPr>
          <w:b/>
          <w:color w:val="000000"/>
          <w:sz w:val="24"/>
          <w:szCs w:val="24"/>
          <w:shd w:val="clear" w:color="auto" w:fill="FFFFFF"/>
        </w:rPr>
      </w:pPr>
      <w:r w:rsidRPr="00023532">
        <w:rPr>
          <w:b/>
          <w:color w:val="000000"/>
          <w:sz w:val="24"/>
          <w:szCs w:val="24"/>
          <w:shd w:val="clear" w:color="auto" w:fill="FFFFFF"/>
        </w:rPr>
        <w:t xml:space="preserve">Bilag 3: </w:t>
      </w:r>
      <w:r w:rsidRPr="00023532">
        <w:rPr>
          <w:color w:val="000000"/>
          <w:sz w:val="24"/>
          <w:szCs w:val="24"/>
          <w:shd w:val="clear" w:color="auto" w:fill="FFFFFF"/>
        </w:rPr>
        <w:t>Antal påbegyndt byggeri (m2) 2007-2014 for sommer- og parcelhuse</w:t>
      </w:r>
    </w:p>
    <w:p w:rsidR="000513EE" w:rsidRPr="00023532" w:rsidRDefault="00023532" w:rsidP="00023532">
      <w:pPr>
        <w:pStyle w:val="ListParagraph"/>
        <w:numPr>
          <w:ilvl w:val="0"/>
          <w:numId w:val="12"/>
        </w:numPr>
        <w:spacing w:line="360" w:lineRule="auto"/>
        <w:rPr>
          <w:b/>
          <w:sz w:val="24"/>
          <w:szCs w:val="24"/>
        </w:rPr>
      </w:pPr>
      <w:r w:rsidRPr="00023532">
        <w:rPr>
          <w:b/>
          <w:sz w:val="24"/>
          <w:szCs w:val="24"/>
        </w:rPr>
        <w:t xml:space="preserve">Bilag 4: </w:t>
      </w:r>
      <w:r w:rsidRPr="00023532">
        <w:rPr>
          <w:sz w:val="24"/>
          <w:szCs w:val="24"/>
        </w:rPr>
        <w:t>Estimat af omsætningsvækstrate i budgetperioden</w:t>
      </w:r>
    </w:p>
    <w:p w:rsidR="00023532" w:rsidRPr="00023532" w:rsidRDefault="00023532" w:rsidP="00023532">
      <w:pPr>
        <w:pStyle w:val="ListParagraph"/>
        <w:numPr>
          <w:ilvl w:val="0"/>
          <w:numId w:val="12"/>
        </w:numPr>
        <w:spacing w:line="360" w:lineRule="auto"/>
        <w:rPr>
          <w:b/>
          <w:sz w:val="24"/>
          <w:szCs w:val="24"/>
        </w:rPr>
      </w:pPr>
      <w:r w:rsidRPr="00023532">
        <w:rPr>
          <w:b/>
          <w:color w:val="000000"/>
          <w:sz w:val="24"/>
          <w:szCs w:val="24"/>
          <w:shd w:val="clear" w:color="auto" w:fill="FFFFFF"/>
        </w:rPr>
        <w:t xml:space="preserve">Bilag 5: </w:t>
      </w:r>
      <w:r w:rsidRPr="00023532">
        <w:rPr>
          <w:color w:val="000000"/>
          <w:sz w:val="24"/>
          <w:szCs w:val="24"/>
          <w:shd w:val="clear" w:color="auto" w:fill="FFFFFF"/>
        </w:rPr>
        <w:t>Estimering af NOPAT ratio</w:t>
      </w:r>
    </w:p>
    <w:p w:rsidR="00023532" w:rsidRPr="00023532" w:rsidRDefault="00023532" w:rsidP="00023532">
      <w:pPr>
        <w:pStyle w:val="ListParagraph"/>
        <w:numPr>
          <w:ilvl w:val="0"/>
          <w:numId w:val="12"/>
        </w:numPr>
        <w:spacing w:line="360" w:lineRule="auto"/>
        <w:rPr>
          <w:b/>
          <w:sz w:val="24"/>
          <w:szCs w:val="24"/>
        </w:rPr>
      </w:pPr>
      <w:r w:rsidRPr="00023532">
        <w:rPr>
          <w:b/>
          <w:sz w:val="24"/>
          <w:szCs w:val="24"/>
        </w:rPr>
        <w:t xml:space="preserve">Bilag 6: </w:t>
      </w:r>
      <w:r w:rsidRPr="00023532">
        <w:rPr>
          <w:sz w:val="24"/>
          <w:szCs w:val="24"/>
        </w:rPr>
        <w:t>Estimat af det frie cash flow for budgetperioden</w:t>
      </w:r>
    </w:p>
    <w:p w:rsidR="00023532" w:rsidRPr="00EF2A5B" w:rsidRDefault="00023532" w:rsidP="00023532">
      <w:pPr>
        <w:pStyle w:val="ListParagraph"/>
        <w:numPr>
          <w:ilvl w:val="0"/>
          <w:numId w:val="12"/>
        </w:numPr>
        <w:spacing w:line="360" w:lineRule="auto"/>
        <w:rPr>
          <w:b/>
          <w:sz w:val="24"/>
          <w:szCs w:val="24"/>
        </w:rPr>
      </w:pPr>
      <w:r w:rsidRPr="00023532">
        <w:rPr>
          <w:b/>
          <w:sz w:val="24"/>
          <w:szCs w:val="24"/>
        </w:rPr>
        <w:t xml:space="preserve">Bilag 7: </w:t>
      </w:r>
      <w:r w:rsidRPr="00023532">
        <w:rPr>
          <w:sz w:val="24"/>
          <w:szCs w:val="24"/>
        </w:rPr>
        <w:t>Samlet DCF-model af Huscompagniet.</w:t>
      </w:r>
    </w:p>
    <w:p w:rsidR="00EF2A5B" w:rsidRPr="000B7D4D" w:rsidRDefault="00EF2A5B" w:rsidP="00EF2A5B">
      <w:pPr>
        <w:pStyle w:val="ListParagraph"/>
        <w:numPr>
          <w:ilvl w:val="0"/>
          <w:numId w:val="12"/>
        </w:numPr>
        <w:spacing w:line="360" w:lineRule="auto"/>
        <w:rPr>
          <w:sz w:val="24"/>
          <w:szCs w:val="24"/>
        </w:rPr>
      </w:pPr>
      <w:r w:rsidRPr="00EF2A5B">
        <w:rPr>
          <w:b/>
          <w:sz w:val="24"/>
          <w:szCs w:val="24"/>
        </w:rPr>
        <w:t xml:space="preserve">Bilag 8: </w:t>
      </w:r>
      <w:r w:rsidRPr="000B7D4D">
        <w:rPr>
          <w:sz w:val="24"/>
          <w:szCs w:val="24"/>
        </w:rPr>
        <w:t>Anvendte formler for nøgletalsberegninger</w:t>
      </w:r>
    </w:p>
    <w:p w:rsidR="000F5892" w:rsidRPr="005F4479" w:rsidRDefault="000F5892" w:rsidP="005F4479">
      <w:pPr>
        <w:spacing w:line="360" w:lineRule="auto"/>
      </w:pPr>
    </w:p>
    <w:p w:rsidR="00A36528" w:rsidRPr="00F66019" w:rsidRDefault="00F66019" w:rsidP="003C00CE">
      <w:pPr>
        <w:spacing w:line="360" w:lineRule="auto"/>
        <w:rPr>
          <w:b/>
          <w:color w:val="000000"/>
          <w:sz w:val="24"/>
          <w:szCs w:val="24"/>
          <w:shd w:val="clear" w:color="auto" w:fill="FFFFFF"/>
        </w:rPr>
      </w:pPr>
      <w:r w:rsidRPr="00023532">
        <w:rPr>
          <w:b/>
          <w:color w:val="000000"/>
          <w:sz w:val="28"/>
          <w:szCs w:val="24"/>
          <w:shd w:val="clear" w:color="auto" w:fill="FFFFFF"/>
        </w:rPr>
        <w:t>Bilag 1: Nøgletal fra resultat- og balanceopgørelsen</w:t>
      </w:r>
      <w:r w:rsidRPr="00F66019">
        <w:rPr>
          <w:b/>
          <w:color w:val="000000"/>
          <w:sz w:val="24"/>
          <w:szCs w:val="24"/>
          <w:shd w:val="clear" w:color="auto" w:fill="FFFFFF"/>
        </w:rPr>
        <w:t xml:space="preserve">. </w:t>
      </w:r>
    </w:p>
    <w:p w:rsidR="00F66019" w:rsidRDefault="00F66019" w:rsidP="003C00CE">
      <w:pPr>
        <w:spacing w:line="360" w:lineRule="auto"/>
        <w:rPr>
          <w:color w:val="000000"/>
          <w:sz w:val="24"/>
          <w:szCs w:val="24"/>
          <w:shd w:val="clear" w:color="auto" w:fill="FFFFFF"/>
        </w:rPr>
      </w:pPr>
      <w:r>
        <w:rPr>
          <w:noProof/>
          <w:lang w:eastAsia="da-DK"/>
        </w:rPr>
        <w:drawing>
          <wp:inline distT="0" distB="0" distL="0" distR="0" wp14:anchorId="7A6D943B" wp14:editId="343296A3">
            <wp:extent cx="5759450" cy="18326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1832610"/>
                    </a:xfrm>
                    <a:prstGeom prst="rect">
                      <a:avLst/>
                    </a:prstGeom>
                  </pic:spPr>
                </pic:pic>
              </a:graphicData>
            </a:graphic>
          </wp:inline>
        </w:drawing>
      </w:r>
    </w:p>
    <w:p w:rsidR="000513EE" w:rsidRDefault="000513EE" w:rsidP="003C00CE">
      <w:pPr>
        <w:spacing w:line="360" w:lineRule="auto"/>
        <w:rPr>
          <w:color w:val="000000"/>
          <w:sz w:val="24"/>
          <w:szCs w:val="24"/>
          <w:shd w:val="clear" w:color="auto" w:fill="FFFFFF"/>
        </w:rPr>
      </w:pPr>
    </w:p>
    <w:p w:rsidR="000513EE" w:rsidRDefault="000513EE" w:rsidP="003C00CE">
      <w:pPr>
        <w:spacing w:line="360" w:lineRule="auto"/>
        <w:rPr>
          <w:color w:val="000000"/>
          <w:sz w:val="24"/>
          <w:szCs w:val="24"/>
          <w:shd w:val="clear" w:color="auto" w:fill="FFFFFF"/>
        </w:rPr>
      </w:pPr>
      <w:r>
        <w:rPr>
          <w:noProof/>
          <w:lang w:eastAsia="da-DK"/>
        </w:rPr>
        <w:drawing>
          <wp:inline distT="0" distB="0" distL="0" distR="0" wp14:anchorId="34BBE943" wp14:editId="016B3DED">
            <wp:extent cx="5759450" cy="15951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9450" cy="1595120"/>
                    </a:xfrm>
                    <a:prstGeom prst="rect">
                      <a:avLst/>
                    </a:prstGeom>
                  </pic:spPr>
                </pic:pic>
              </a:graphicData>
            </a:graphic>
          </wp:inline>
        </w:drawing>
      </w:r>
    </w:p>
    <w:p w:rsidR="00C23214" w:rsidRDefault="00C23214" w:rsidP="003C00CE">
      <w:pPr>
        <w:spacing w:line="360" w:lineRule="auto"/>
        <w:rPr>
          <w:color w:val="000000"/>
          <w:sz w:val="24"/>
          <w:szCs w:val="24"/>
          <w:shd w:val="clear" w:color="auto" w:fill="FFFFFF"/>
        </w:rPr>
      </w:pPr>
    </w:p>
    <w:p w:rsidR="000D2851" w:rsidRDefault="000D2851" w:rsidP="003C00CE">
      <w:pPr>
        <w:spacing w:line="360" w:lineRule="auto"/>
        <w:rPr>
          <w:color w:val="000000"/>
          <w:sz w:val="24"/>
          <w:szCs w:val="24"/>
          <w:shd w:val="clear" w:color="auto" w:fill="FFFFFF"/>
        </w:rPr>
      </w:pPr>
    </w:p>
    <w:p w:rsidR="000D2851" w:rsidRDefault="000D2851" w:rsidP="003C00CE">
      <w:pPr>
        <w:spacing w:line="360" w:lineRule="auto"/>
        <w:rPr>
          <w:color w:val="000000"/>
          <w:sz w:val="24"/>
          <w:szCs w:val="24"/>
          <w:shd w:val="clear" w:color="auto" w:fill="FFFFFF"/>
        </w:rPr>
      </w:pPr>
    </w:p>
    <w:p w:rsidR="00A8406F" w:rsidRPr="00023532" w:rsidRDefault="000513EE" w:rsidP="003C00CE">
      <w:pPr>
        <w:spacing w:line="360" w:lineRule="auto"/>
        <w:rPr>
          <w:b/>
          <w:color w:val="000000"/>
          <w:sz w:val="28"/>
          <w:szCs w:val="24"/>
          <w:shd w:val="clear" w:color="auto" w:fill="FFFFFF"/>
        </w:rPr>
      </w:pPr>
      <w:r w:rsidRPr="00023532">
        <w:rPr>
          <w:b/>
          <w:color w:val="000000"/>
          <w:sz w:val="28"/>
          <w:szCs w:val="24"/>
          <w:shd w:val="clear" w:color="auto" w:fill="FFFFFF"/>
        </w:rPr>
        <w:lastRenderedPageBreak/>
        <w:t xml:space="preserve">Bilag 2: </w:t>
      </w:r>
      <w:r w:rsidR="00A8406F" w:rsidRPr="00023532">
        <w:rPr>
          <w:b/>
          <w:color w:val="000000"/>
          <w:sz w:val="28"/>
          <w:szCs w:val="24"/>
          <w:shd w:val="clear" w:color="auto" w:fill="FFFFFF"/>
        </w:rPr>
        <w:t>Oversættelse af poster i NCCs regnskab</w:t>
      </w:r>
    </w:p>
    <w:p w:rsidR="00A8406F" w:rsidRDefault="00A8406F" w:rsidP="003C00CE">
      <w:pPr>
        <w:spacing w:line="360" w:lineRule="auto"/>
        <w:rPr>
          <w:b/>
          <w:color w:val="000000"/>
          <w:sz w:val="24"/>
          <w:szCs w:val="24"/>
          <w:shd w:val="clear" w:color="auto" w:fill="FFFFFF"/>
        </w:rPr>
      </w:pPr>
      <w:r>
        <w:rPr>
          <w:noProof/>
          <w:lang w:eastAsia="da-DK"/>
        </w:rPr>
        <w:drawing>
          <wp:inline distT="0" distB="0" distL="0" distR="0" wp14:anchorId="671AD544" wp14:editId="5A616E91">
            <wp:extent cx="5476875" cy="3590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76875" cy="3590925"/>
                    </a:xfrm>
                    <a:prstGeom prst="rect">
                      <a:avLst/>
                    </a:prstGeom>
                  </pic:spPr>
                </pic:pic>
              </a:graphicData>
            </a:graphic>
          </wp:inline>
        </w:drawing>
      </w:r>
    </w:p>
    <w:p w:rsidR="00EF7E5A" w:rsidRPr="000513EE" w:rsidRDefault="00EF7E5A" w:rsidP="003C00CE">
      <w:pPr>
        <w:spacing w:line="360" w:lineRule="auto"/>
        <w:rPr>
          <w:b/>
          <w:color w:val="000000"/>
          <w:sz w:val="24"/>
          <w:szCs w:val="24"/>
          <w:shd w:val="clear" w:color="auto" w:fill="FFFFFF"/>
        </w:rPr>
      </w:pPr>
    </w:p>
    <w:p w:rsidR="00875BB8" w:rsidRPr="00023532" w:rsidRDefault="00C23214" w:rsidP="003C00CE">
      <w:pPr>
        <w:spacing w:line="360" w:lineRule="auto"/>
        <w:rPr>
          <w:b/>
          <w:color w:val="000000"/>
          <w:sz w:val="28"/>
          <w:szCs w:val="24"/>
          <w:shd w:val="clear" w:color="auto" w:fill="FFFFFF"/>
        </w:rPr>
      </w:pPr>
      <w:r w:rsidRPr="00023532">
        <w:rPr>
          <w:b/>
          <w:color w:val="000000"/>
          <w:sz w:val="28"/>
          <w:szCs w:val="24"/>
          <w:shd w:val="clear" w:color="auto" w:fill="FFFFFF"/>
        </w:rPr>
        <w:t>Bilag 3: Antal påbegyndt byggeri (m2) 2007-2014</w:t>
      </w:r>
      <w:r w:rsidR="00EF7E5A" w:rsidRPr="00023532">
        <w:rPr>
          <w:b/>
          <w:color w:val="000000"/>
          <w:sz w:val="28"/>
          <w:szCs w:val="24"/>
          <w:shd w:val="clear" w:color="auto" w:fill="FFFFFF"/>
        </w:rPr>
        <w:t xml:space="preserve"> for sommer- og parcelhuse</w:t>
      </w:r>
    </w:p>
    <w:p w:rsidR="003C00CE" w:rsidRDefault="00C23214" w:rsidP="005D7867">
      <w:r>
        <w:rPr>
          <w:noProof/>
          <w:lang w:eastAsia="da-DK"/>
        </w:rPr>
        <w:drawing>
          <wp:inline distT="0" distB="0" distL="0" distR="0" wp14:anchorId="5EFA9112" wp14:editId="7FEA1208">
            <wp:extent cx="4610100" cy="2781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10100" cy="2781300"/>
                    </a:xfrm>
                    <a:prstGeom prst="rect">
                      <a:avLst/>
                    </a:prstGeom>
                  </pic:spPr>
                </pic:pic>
              </a:graphicData>
            </a:graphic>
          </wp:inline>
        </w:drawing>
      </w:r>
    </w:p>
    <w:p w:rsidR="00C23214" w:rsidRPr="00584DD0" w:rsidRDefault="00C23214" w:rsidP="00C23214">
      <w:pPr>
        <w:rPr>
          <w:color w:val="000000"/>
          <w:sz w:val="24"/>
        </w:rPr>
      </w:pPr>
      <w:r w:rsidRPr="00C23214">
        <w:rPr>
          <w:b/>
          <w:color w:val="000000"/>
          <w:sz w:val="24"/>
          <w:szCs w:val="24"/>
          <w:shd w:val="clear" w:color="auto" w:fill="FFFFFF"/>
        </w:rPr>
        <w:t>Data:</w:t>
      </w:r>
      <w:r>
        <w:rPr>
          <w:color w:val="000000"/>
          <w:sz w:val="24"/>
          <w:szCs w:val="24"/>
          <w:shd w:val="clear" w:color="auto" w:fill="FFFFFF"/>
        </w:rPr>
        <w:t xml:space="preserve"> </w:t>
      </w:r>
      <w:r w:rsidRPr="00584DD0">
        <w:rPr>
          <w:color w:val="000000"/>
          <w:sz w:val="24"/>
        </w:rPr>
        <w:t>Landstal for den samlede byggeaktivitet (ikke korrigeret for forsinkelser) efter byggefase, anvendelse og bygherreforhold</w:t>
      </w:r>
      <w:r>
        <w:rPr>
          <w:color w:val="000000"/>
          <w:sz w:val="24"/>
        </w:rPr>
        <w:t>. Udgivet af Danmarks Statistik</w:t>
      </w:r>
      <w:r w:rsidRPr="00584DD0">
        <w:rPr>
          <w:color w:val="000000"/>
          <w:sz w:val="24"/>
        </w:rPr>
        <w:t>. Internetadresse:</w:t>
      </w:r>
      <w:r w:rsidRPr="00584DD0">
        <w:rPr>
          <w:rStyle w:val="apple-converted-space"/>
          <w:color w:val="000000"/>
          <w:sz w:val="24"/>
        </w:rPr>
        <w:t> </w:t>
      </w:r>
      <w:r w:rsidRPr="00584DD0">
        <w:rPr>
          <w:color w:val="0000FF"/>
          <w:sz w:val="24"/>
          <w:u w:val="single"/>
        </w:rPr>
        <w:t>http://www.statistikbanken.dk/BYGV01</w:t>
      </w:r>
      <w:r w:rsidRPr="00584DD0">
        <w:rPr>
          <w:rStyle w:val="apple-converted-space"/>
          <w:color w:val="000000"/>
          <w:sz w:val="24"/>
        </w:rPr>
        <w:t> </w:t>
      </w:r>
      <w:r w:rsidRPr="00584DD0">
        <w:rPr>
          <w:color w:val="000000"/>
          <w:sz w:val="24"/>
        </w:rPr>
        <w:t>- Besøgt d. 10.02.2015 (Internet)</w:t>
      </w:r>
    </w:p>
    <w:p w:rsidR="00C23214" w:rsidRDefault="00C23214" w:rsidP="00C23214">
      <w:pPr>
        <w:spacing w:line="360" w:lineRule="auto"/>
        <w:rPr>
          <w:color w:val="000000"/>
          <w:sz w:val="24"/>
          <w:szCs w:val="24"/>
          <w:shd w:val="clear" w:color="auto" w:fill="FFFFFF"/>
        </w:rPr>
      </w:pPr>
      <w:r w:rsidRPr="00C23214">
        <w:rPr>
          <w:b/>
          <w:color w:val="000000"/>
          <w:sz w:val="24"/>
          <w:szCs w:val="24"/>
          <w:shd w:val="clear" w:color="auto" w:fill="FFFFFF"/>
        </w:rPr>
        <w:t>Graf:</w:t>
      </w:r>
      <w:r>
        <w:rPr>
          <w:color w:val="000000"/>
          <w:sz w:val="24"/>
          <w:szCs w:val="24"/>
          <w:shd w:val="clear" w:color="auto" w:fill="FFFFFF"/>
        </w:rPr>
        <w:t xml:space="preserve"> Egen tilblivelse. </w:t>
      </w:r>
    </w:p>
    <w:p w:rsidR="009F2F31" w:rsidRDefault="009F2F31" w:rsidP="00C23214">
      <w:pPr>
        <w:spacing w:line="360" w:lineRule="auto"/>
        <w:rPr>
          <w:color w:val="000000"/>
          <w:sz w:val="24"/>
          <w:szCs w:val="24"/>
          <w:shd w:val="clear" w:color="auto" w:fill="FFFFFF"/>
        </w:rPr>
      </w:pPr>
    </w:p>
    <w:p w:rsidR="00C23214" w:rsidRDefault="00C23214" w:rsidP="00C23214">
      <w:pPr>
        <w:spacing w:line="360" w:lineRule="auto"/>
        <w:rPr>
          <w:b/>
          <w:color w:val="000000"/>
          <w:sz w:val="28"/>
          <w:szCs w:val="24"/>
          <w:shd w:val="clear" w:color="auto" w:fill="FFFFFF"/>
        </w:rPr>
      </w:pPr>
      <w:r w:rsidRPr="008B0C9B">
        <w:rPr>
          <w:b/>
          <w:color w:val="000000"/>
          <w:sz w:val="28"/>
          <w:szCs w:val="24"/>
          <w:shd w:val="clear" w:color="auto" w:fill="FFFFFF"/>
        </w:rPr>
        <w:lastRenderedPageBreak/>
        <w:t>Bilag 4</w:t>
      </w:r>
      <w:r w:rsidR="009F2F31">
        <w:rPr>
          <w:b/>
          <w:color w:val="000000"/>
          <w:sz w:val="28"/>
          <w:szCs w:val="24"/>
          <w:shd w:val="clear" w:color="auto" w:fill="FFFFFF"/>
        </w:rPr>
        <w:t xml:space="preserve">: </w:t>
      </w:r>
      <w:r w:rsidR="00D3046A">
        <w:rPr>
          <w:b/>
          <w:color w:val="000000"/>
          <w:sz w:val="28"/>
          <w:szCs w:val="24"/>
          <w:shd w:val="clear" w:color="auto" w:fill="FFFFFF"/>
        </w:rPr>
        <w:t>Estimat af omsætningsvækstrate i budgetperioden</w:t>
      </w:r>
    </w:p>
    <w:p w:rsidR="00FC60D1" w:rsidRPr="008B0C9B" w:rsidRDefault="00FC60D1" w:rsidP="00C23214">
      <w:pPr>
        <w:spacing w:line="360" w:lineRule="auto"/>
        <w:rPr>
          <w:b/>
          <w:color w:val="000000"/>
          <w:sz w:val="28"/>
          <w:szCs w:val="24"/>
          <w:shd w:val="clear" w:color="auto" w:fill="FFFFFF"/>
        </w:rPr>
      </w:pPr>
    </w:p>
    <w:p w:rsidR="00C23214" w:rsidRDefault="00C23214" w:rsidP="00C23214">
      <w:pPr>
        <w:spacing w:line="360" w:lineRule="auto"/>
        <w:rPr>
          <w:color w:val="000000"/>
          <w:sz w:val="24"/>
          <w:szCs w:val="24"/>
          <w:shd w:val="clear" w:color="auto" w:fill="FFFFFF"/>
        </w:rPr>
      </w:pPr>
      <w:r>
        <w:rPr>
          <w:color w:val="000000"/>
          <w:sz w:val="24"/>
          <w:szCs w:val="24"/>
          <w:shd w:val="clear" w:color="auto" w:fill="FFFFFF"/>
        </w:rPr>
        <w:t>Omsætningsvækstrate i budget</w:t>
      </w:r>
      <w:r w:rsidR="006F60AD">
        <w:rPr>
          <w:color w:val="000000"/>
          <w:sz w:val="24"/>
          <w:szCs w:val="24"/>
          <w:shd w:val="clear" w:color="auto" w:fill="FFFFFF"/>
        </w:rPr>
        <w:t>perioden:</w:t>
      </w:r>
    </w:p>
    <w:p w:rsidR="0086114C" w:rsidRDefault="0086114C" w:rsidP="00C23214">
      <w:pPr>
        <w:spacing w:line="360" w:lineRule="auto"/>
        <w:rPr>
          <w:color w:val="000000"/>
          <w:sz w:val="24"/>
          <w:szCs w:val="24"/>
          <w:shd w:val="clear" w:color="auto" w:fill="FFFFFF"/>
        </w:rPr>
      </w:pPr>
      <w:r>
        <w:rPr>
          <w:noProof/>
          <w:lang w:eastAsia="da-DK"/>
        </w:rPr>
        <w:drawing>
          <wp:inline distT="0" distB="0" distL="0" distR="0" wp14:anchorId="4F9876BF" wp14:editId="150EFD27">
            <wp:extent cx="5759450" cy="4610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59450" cy="461010"/>
                    </a:xfrm>
                    <a:prstGeom prst="rect">
                      <a:avLst/>
                    </a:prstGeom>
                  </pic:spPr>
                </pic:pic>
              </a:graphicData>
            </a:graphic>
          </wp:inline>
        </w:drawing>
      </w:r>
    </w:p>
    <w:p w:rsidR="00BE2DBA" w:rsidRDefault="00BE2DBA" w:rsidP="00C23214">
      <w:pPr>
        <w:spacing w:line="360" w:lineRule="auto"/>
        <w:rPr>
          <w:color w:val="000000"/>
          <w:sz w:val="24"/>
          <w:szCs w:val="24"/>
          <w:shd w:val="clear" w:color="auto" w:fill="FFFFFF"/>
        </w:rPr>
      </w:pPr>
    </w:p>
    <w:p w:rsidR="006F60AD" w:rsidRDefault="00A42393" w:rsidP="00C23214">
      <w:pPr>
        <w:spacing w:line="360" w:lineRule="auto"/>
        <w:rPr>
          <w:b/>
          <w:color w:val="000000"/>
          <w:sz w:val="28"/>
          <w:szCs w:val="24"/>
          <w:shd w:val="clear" w:color="auto" w:fill="FFFFFF"/>
        </w:rPr>
      </w:pPr>
      <w:r w:rsidRPr="00A42393">
        <w:rPr>
          <w:b/>
          <w:color w:val="000000"/>
          <w:sz w:val="28"/>
          <w:szCs w:val="24"/>
          <w:shd w:val="clear" w:color="auto" w:fill="FFFFFF"/>
        </w:rPr>
        <w:t xml:space="preserve">Bilag 5: </w:t>
      </w:r>
      <w:r>
        <w:rPr>
          <w:b/>
          <w:color w:val="000000"/>
          <w:sz w:val="28"/>
          <w:szCs w:val="24"/>
          <w:shd w:val="clear" w:color="auto" w:fill="FFFFFF"/>
        </w:rPr>
        <w:t xml:space="preserve">Estimering af NOPAT ratio </w:t>
      </w:r>
    </w:p>
    <w:p w:rsidR="00BE2DBA" w:rsidRDefault="00BE2DBA" w:rsidP="00C23214">
      <w:pPr>
        <w:spacing w:line="360" w:lineRule="auto"/>
        <w:rPr>
          <w:b/>
          <w:color w:val="000000"/>
          <w:sz w:val="28"/>
          <w:szCs w:val="24"/>
          <w:shd w:val="clear" w:color="auto" w:fill="FFFFFF"/>
        </w:rPr>
      </w:pPr>
    </w:p>
    <w:p w:rsidR="00A42393" w:rsidRPr="00D3046A" w:rsidRDefault="00A42393" w:rsidP="00C23214">
      <w:pPr>
        <w:spacing w:line="360" w:lineRule="auto"/>
        <w:rPr>
          <w:color w:val="000000"/>
          <w:sz w:val="24"/>
          <w:szCs w:val="24"/>
          <w:shd w:val="clear" w:color="auto" w:fill="FFFFFF"/>
        </w:rPr>
      </w:pPr>
      <w:r w:rsidRPr="00D3046A">
        <w:rPr>
          <w:color w:val="000000"/>
          <w:sz w:val="24"/>
          <w:szCs w:val="24"/>
          <w:shd w:val="clear" w:color="auto" w:fill="FFFFFF"/>
        </w:rPr>
        <w:t xml:space="preserve">NOPAT ratio beregnes i sidste regnskabsår, hvilket er 2013. </w:t>
      </w:r>
    </w:p>
    <w:p w:rsidR="00BE2DBA" w:rsidRDefault="00A42393" w:rsidP="00C23214">
      <w:pPr>
        <w:spacing w:line="360" w:lineRule="auto"/>
        <w:rPr>
          <w:b/>
          <w:color w:val="000000"/>
          <w:sz w:val="28"/>
          <w:szCs w:val="24"/>
          <w:shd w:val="clear" w:color="auto" w:fill="FFFFFF"/>
        </w:rPr>
      </w:pPr>
      <w:r>
        <w:rPr>
          <w:noProof/>
          <w:lang w:eastAsia="da-DK"/>
        </w:rPr>
        <w:drawing>
          <wp:inline distT="0" distB="0" distL="0" distR="0" wp14:anchorId="39A3618B" wp14:editId="3586CE7C">
            <wp:extent cx="4870939" cy="12954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r="1657"/>
                    <a:stretch/>
                  </pic:blipFill>
                  <pic:spPr bwMode="auto">
                    <a:xfrm>
                      <a:off x="0" y="0"/>
                      <a:ext cx="4870939" cy="1295400"/>
                    </a:xfrm>
                    <a:prstGeom prst="rect">
                      <a:avLst/>
                    </a:prstGeom>
                    <a:ln>
                      <a:noFill/>
                    </a:ln>
                    <a:extLst>
                      <a:ext uri="{53640926-AAD7-44D8-BBD7-CCE9431645EC}">
                        <a14:shadowObscured xmlns:a14="http://schemas.microsoft.com/office/drawing/2010/main"/>
                      </a:ext>
                    </a:extLst>
                  </pic:spPr>
                </pic:pic>
              </a:graphicData>
            </a:graphic>
          </wp:inline>
        </w:drawing>
      </w:r>
    </w:p>
    <w:p w:rsidR="00BE2DBA" w:rsidRPr="00A42393" w:rsidRDefault="00BE2DBA" w:rsidP="00C23214">
      <w:pPr>
        <w:spacing w:line="360" w:lineRule="auto"/>
        <w:rPr>
          <w:b/>
          <w:color w:val="000000"/>
          <w:sz w:val="28"/>
          <w:szCs w:val="24"/>
          <w:shd w:val="clear" w:color="auto" w:fill="FFFFFF"/>
        </w:rPr>
      </w:pPr>
    </w:p>
    <w:p w:rsidR="00C23214" w:rsidRDefault="00D3046A" w:rsidP="005D7867">
      <w:pPr>
        <w:rPr>
          <w:b/>
          <w:sz w:val="28"/>
        </w:rPr>
      </w:pPr>
      <w:r>
        <w:rPr>
          <w:b/>
          <w:sz w:val="28"/>
        </w:rPr>
        <w:t>Bilag 6: Estimat af det frie cash flow for budgetperioden</w:t>
      </w:r>
    </w:p>
    <w:p w:rsidR="00BE2DBA" w:rsidRDefault="00BE2DBA" w:rsidP="005D7867">
      <w:pPr>
        <w:rPr>
          <w:b/>
          <w:sz w:val="28"/>
        </w:rPr>
      </w:pPr>
    </w:p>
    <w:p w:rsidR="00D3046A" w:rsidRPr="00C23214" w:rsidRDefault="00D3046A" w:rsidP="00D3046A">
      <w:pPr>
        <w:spacing w:line="360" w:lineRule="auto"/>
        <w:rPr>
          <w:color w:val="000000"/>
          <w:sz w:val="24"/>
          <w:szCs w:val="24"/>
          <w:shd w:val="clear" w:color="auto" w:fill="FFFFFF"/>
        </w:rPr>
      </w:pPr>
      <w:r>
        <w:rPr>
          <w:color w:val="000000"/>
          <w:sz w:val="24"/>
          <w:szCs w:val="24"/>
          <w:shd w:val="clear" w:color="auto" w:fill="FFFFFF"/>
        </w:rPr>
        <w:t xml:space="preserve">Beregning af det frie cash flow i 2013 samt budgetperioden: </w:t>
      </w:r>
    </w:p>
    <w:p w:rsidR="00D3046A" w:rsidRDefault="00D3046A" w:rsidP="00D3046A">
      <w:pPr>
        <w:spacing w:line="360" w:lineRule="auto"/>
        <w:rPr>
          <w:color w:val="000000"/>
          <w:sz w:val="24"/>
          <w:szCs w:val="24"/>
          <w:shd w:val="clear" w:color="auto" w:fill="FFFFFF"/>
        </w:rPr>
      </w:pPr>
      <w:r>
        <w:rPr>
          <w:noProof/>
          <w:lang w:eastAsia="da-DK"/>
        </w:rPr>
        <w:drawing>
          <wp:inline distT="0" distB="0" distL="0" distR="0" wp14:anchorId="7B3BF3CD" wp14:editId="4604FC4E">
            <wp:extent cx="5759450" cy="6553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59450" cy="655320"/>
                    </a:xfrm>
                    <a:prstGeom prst="rect">
                      <a:avLst/>
                    </a:prstGeom>
                  </pic:spPr>
                </pic:pic>
              </a:graphicData>
            </a:graphic>
          </wp:inline>
        </w:drawing>
      </w:r>
    </w:p>
    <w:p w:rsidR="00D3046A" w:rsidRDefault="00D3046A" w:rsidP="00D3046A">
      <w:pPr>
        <w:spacing w:line="360" w:lineRule="auto"/>
        <w:rPr>
          <w:color w:val="000000"/>
          <w:sz w:val="24"/>
          <w:szCs w:val="24"/>
          <w:shd w:val="clear" w:color="auto" w:fill="FFFFFF"/>
        </w:rPr>
      </w:pPr>
      <w:r>
        <w:rPr>
          <w:color w:val="000000"/>
          <w:sz w:val="24"/>
          <w:szCs w:val="24"/>
          <w:shd w:val="clear" w:color="auto" w:fill="FFFFFF"/>
        </w:rPr>
        <w:t>Det forudsættes desuden at køb af materielle anlægsaktiver for 2013 stig</w:t>
      </w:r>
      <w:r w:rsidR="006D2FC5">
        <w:rPr>
          <w:color w:val="000000"/>
          <w:sz w:val="24"/>
          <w:szCs w:val="24"/>
          <w:shd w:val="clear" w:color="auto" w:fill="FFFFFF"/>
        </w:rPr>
        <w:t>er med</w:t>
      </w:r>
      <w:r>
        <w:rPr>
          <w:color w:val="000000"/>
          <w:sz w:val="24"/>
          <w:szCs w:val="24"/>
          <w:shd w:val="clear" w:color="auto" w:fill="FFFFFF"/>
        </w:rPr>
        <w:t xml:space="preserve"> omsætningsvækstrate</w:t>
      </w:r>
      <w:r w:rsidR="006D2FC5">
        <w:rPr>
          <w:color w:val="000000"/>
          <w:sz w:val="24"/>
          <w:szCs w:val="24"/>
          <w:shd w:val="clear" w:color="auto" w:fill="FFFFFF"/>
        </w:rPr>
        <w:t>n</w:t>
      </w:r>
      <w:r>
        <w:rPr>
          <w:color w:val="000000"/>
          <w:sz w:val="24"/>
          <w:szCs w:val="24"/>
          <w:shd w:val="clear" w:color="auto" w:fill="FFFFFF"/>
        </w:rPr>
        <w:t xml:space="preserve"> for hvert af de budgetterede år. </w:t>
      </w:r>
    </w:p>
    <w:p w:rsidR="000B7D4D" w:rsidRDefault="000B7D4D" w:rsidP="005D7867">
      <w:pPr>
        <w:rPr>
          <w:color w:val="000000"/>
          <w:sz w:val="24"/>
          <w:szCs w:val="24"/>
          <w:shd w:val="clear" w:color="auto" w:fill="FFFFFF"/>
        </w:rPr>
      </w:pPr>
    </w:p>
    <w:p w:rsidR="008E41E9" w:rsidRDefault="005C7947" w:rsidP="005D7867">
      <w:pPr>
        <w:rPr>
          <w:b/>
          <w:sz w:val="28"/>
        </w:rPr>
      </w:pPr>
      <w:r>
        <w:rPr>
          <w:b/>
          <w:sz w:val="28"/>
        </w:rPr>
        <w:t>Bilag 7: Samlet DCF-model af Huscompagniet.</w:t>
      </w:r>
    </w:p>
    <w:p w:rsidR="00D3046A" w:rsidRDefault="005C7947" w:rsidP="005D7867">
      <w:pPr>
        <w:rPr>
          <w:b/>
          <w:sz w:val="28"/>
        </w:rPr>
      </w:pPr>
      <w:r>
        <w:rPr>
          <w:b/>
          <w:sz w:val="28"/>
        </w:rPr>
        <w:t xml:space="preserve"> </w:t>
      </w:r>
    </w:p>
    <w:p w:rsidR="008E41E9" w:rsidRPr="008E41E9" w:rsidRDefault="008E41E9" w:rsidP="005D7867">
      <w:pPr>
        <w:rPr>
          <w:sz w:val="24"/>
        </w:rPr>
      </w:pPr>
      <w:r>
        <w:rPr>
          <w:sz w:val="24"/>
        </w:rPr>
        <w:t>Analysen forudsætter at vi står i 1. jan 2014. Derved indgår 2014 altså som et estimat, da regnskab for 2014 en</w:t>
      </w:r>
      <w:r w:rsidR="004B5EC8">
        <w:rPr>
          <w:sz w:val="24"/>
        </w:rPr>
        <w:t>dnu ikke er offentliggjort for H</w:t>
      </w:r>
      <w:r>
        <w:rPr>
          <w:sz w:val="24"/>
        </w:rPr>
        <w:t>uscompagniet</w:t>
      </w:r>
    </w:p>
    <w:p w:rsidR="005C7947" w:rsidRDefault="005C7947" w:rsidP="005D7867">
      <w:pPr>
        <w:rPr>
          <w:b/>
          <w:sz w:val="28"/>
        </w:rPr>
      </w:pPr>
      <w:r>
        <w:rPr>
          <w:noProof/>
          <w:lang w:eastAsia="da-DK"/>
        </w:rPr>
        <w:lastRenderedPageBreak/>
        <w:drawing>
          <wp:inline distT="0" distB="0" distL="0" distR="0" wp14:anchorId="3CCA4F13" wp14:editId="4B743BFF">
            <wp:extent cx="5759450" cy="13912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59450" cy="1391285"/>
                    </a:xfrm>
                    <a:prstGeom prst="rect">
                      <a:avLst/>
                    </a:prstGeom>
                  </pic:spPr>
                </pic:pic>
              </a:graphicData>
            </a:graphic>
          </wp:inline>
        </w:drawing>
      </w:r>
    </w:p>
    <w:p w:rsidR="005C7947" w:rsidRPr="005C7947" w:rsidRDefault="005C7947" w:rsidP="005D7867">
      <w:pPr>
        <w:rPr>
          <w:b/>
          <w:sz w:val="28"/>
        </w:rPr>
      </w:pPr>
    </w:p>
    <w:p w:rsidR="00EF2A5B" w:rsidRDefault="00EF2A5B" w:rsidP="005D7867">
      <w:pPr>
        <w:rPr>
          <w:b/>
          <w:sz w:val="28"/>
        </w:rPr>
      </w:pPr>
    </w:p>
    <w:p w:rsidR="00A90D68" w:rsidRDefault="00EF2A5B" w:rsidP="005D7867">
      <w:pPr>
        <w:rPr>
          <w:b/>
          <w:sz w:val="28"/>
        </w:rPr>
      </w:pPr>
      <w:r w:rsidRPr="00EF2A5B">
        <w:rPr>
          <w:b/>
          <w:sz w:val="28"/>
        </w:rPr>
        <w:t>Bila</w:t>
      </w:r>
      <w:r>
        <w:rPr>
          <w:b/>
          <w:sz w:val="28"/>
        </w:rPr>
        <w:t>g 8: Anvendte formler for nøgletal</w:t>
      </w:r>
    </w:p>
    <w:p w:rsidR="00EF2A5B" w:rsidRDefault="00EF2A5B" w:rsidP="005D7867">
      <w:pPr>
        <w:rPr>
          <w:b/>
          <w:sz w:val="28"/>
        </w:rPr>
      </w:pPr>
      <w:r>
        <w:rPr>
          <w:noProof/>
          <w:lang w:eastAsia="da-DK"/>
        </w:rPr>
        <w:drawing>
          <wp:inline distT="0" distB="0" distL="0" distR="0" wp14:anchorId="319E8C26" wp14:editId="24B5C0A5">
            <wp:extent cx="4227634" cy="316523"/>
            <wp:effectExtent l="0" t="0" r="1905" b="7620"/>
            <wp:docPr id="15" name="Picture 3" descr="\text {Afkastningsgrad} = \frac {\text {(Resultat af primær drift + finansielle indtægter)} \times 100}{\text {Gennemsnitlige akt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Afkastningsgrad} = \frac {\text {(Resultat af primær drift + finansielle indtægter)} \times 100}{\text {Gennemsnitlige aktiv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27634" cy="31652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F2A5B" w:rsidRDefault="00EF2A5B" w:rsidP="005D7867">
      <w:pPr>
        <w:rPr>
          <w:b/>
          <w:sz w:val="28"/>
        </w:rPr>
      </w:pPr>
      <w:r>
        <w:rPr>
          <w:noProof/>
          <w:lang w:eastAsia="da-DK"/>
        </w:rPr>
        <w:drawing>
          <wp:inline distT="0" distB="0" distL="0" distR="0" wp14:anchorId="57A60409" wp14:editId="6A496122">
            <wp:extent cx="4189534" cy="316525"/>
            <wp:effectExtent l="0" t="0" r="1905" b="7620"/>
            <wp:docPr id="16" name="Picture 7" descr="\text {Overskudsgrad} = \frac {\text { (Resultat af primær drift + finansielle indtægter) x 100}}{\text {Nettoomsæ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xt {Overskudsgrad} = \frac {\text { (Resultat af primær drift + finansielle indtægter) x 100}}{\text {Nettoomsætn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89534" cy="316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F2A5B" w:rsidRDefault="00EF2A5B" w:rsidP="005D7867">
      <w:pPr>
        <w:rPr>
          <w:b/>
          <w:sz w:val="28"/>
        </w:rPr>
      </w:pPr>
      <w:r>
        <w:rPr>
          <w:noProof/>
          <w:lang w:eastAsia="da-DK"/>
        </w:rPr>
        <w:drawing>
          <wp:inline distT="0" distB="0" distL="0" distR="0" wp14:anchorId="5D55975E" wp14:editId="379CCC43">
            <wp:extent cx="3297847" cy="306997"/>
            <wp:effectExtent l="0" t="0" r="0" b="0"/>
            <wp:docPr id="17" name="Picture 8" descr="\text {Aktivernes omsætningshastighed} = \frac {\text { Nettoomsætning}}{\text {Gennemsnitlige akt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 {Aktivernes omsætningshastighed} = \frac {\text { Nettoomsætning}}{\text {Gennemsnitlige aktiv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97847" cy="30699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F2A5B" w:rsidRDefault="00EF2A5B" w:rsidP="005D7867">
      <w:pPr>
        <w:rPr>
          <w:b/>
          <w:sz w:val="28"/>
        </w:rPr>
      </w:pPr>
      <w:r>
        <w:rPr>
          <w:noProof/>
          <w:lang w:eastAsia="da-DK"/>
        </w:rPr>
        <w:drawing>
          <wp:inline distT="0" distB="0" distL="0" distR="0" wp14:anchorId="23D01F99" wp14:editId="0258FE83">
            <wp:extent cx="3135922" cy="306998"/>
            <wp:effectExtent l="0" t="0" r="0" b="0"/>
            <wp:docPr id="18" name="Picture 10" descr="\text {Egenkapitalens forrentning} = \frac {\text {Resultat før skat x 100}}{\text {Gennemsnitlig egenk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text {Egenkapitalens forrentning} = \frac {\text {Resultat før skat x 100}}{\text {Gennemsnitlig egenkapit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35922" cy="30699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F2A5B" w:rsidRDefault="00EF2A5B" w:rsidP="005D7867">
      <w:pPr>
        <w:rPr>
          <w:b/>
          <w:sz w:val="28"/>
        </w:rPr>
      </w:pPr>
      <w:r>
        <w:rPr>
          <w:noProof/>
          <w:lang w:eastAsia="da-DK"/>
        </w:rPr>
        <w:drawing>
          <wp:inline distT="0" distB="0" distL="0" distR="0" wp14:anchorId="6743F97F" wp14:editId="3BB9A27C">
            <wp:extent cx="2685317" cy="306999"/>
            <wp:effectExtent l="0" t="0" r="1270" b="0"/>
            <wp:docPr id="19" name="Picture 11" descr="\text {Gældsrente} = \frac {\text {Finansielle omkostninger x 100}}{\text {Gennemsnitlige gældsforpligt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 {Gældsrente} = \frac {\text {Finansielle omkostninger x 100}}{\text {Gennemsnitlige gældsforpligtels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85317" cy="3069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A6714" w:rsidRDefault="00CA6714" w:rsidP="005D7867">
      <w:pPr>
        <w:rPr>
          <w:b/>
          <w:sz w:val="28"/>
        </w:rPr>
      </w:pPr>
      <w:r>
        <w:rPr>
          <w:noProof/>
          <w:lang w:eastAsia="da-DK"/>
        </w:rPr>
        <w:drawing>
          <wp:inline distT="0" distB="0" distL="0" distR="0" wp14:anchorId="672CCA6F" wp14:editId="3C5EF325">
            <wp:extent cx="2485292" cy="306999"/>
            <wp:effectExtent l="0" t="0" r="0" b="0"/>
            <wp:docPr id="20" name="Picture 12" descr="\text {Gearing} = \frac {\text {Gennemsnitlige gældsforpligtelser}}{\text {Gennemsnitlig egenk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text {Gearing} = \frac {\text {Gennemsnitlige gældsforpligtelser}}{\text {Gennemsnitlig egenkapita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85292" cy="3069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A6714" w:rsidRDefault="00CA6714" w:rsidP="005D7867">
      <w:pPr>
        <w:rPr>
          <w:b/>
          <w:sz w:val="28"/>
        </w:rPr>
      </w:pPr>
      <w:r>
        <w:rPr>
          <w:noProof/>
          <w:lang w:eastAsia="da-DK"/>
        </w:rPr>
        <w:drawing>
          <wp:inline distT="0" distB="0" distL="0" distR="0" wp14:anchorId="1F56244F" wp14:editId="281D0599">
            <wp:extent cx="2015635" cy="281679"/>
            <wp:effectExtent l="0" t="0" r="3810" b="4445"/>
            <wp:docPr id="21" name="Picture 14" descr="\text {Soliditetsgrad } = \frac {\text {Egenkapital x 100}}{\text{Akt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 {Soliditetsgrad } = \frac {\text {Egenkapital x 100}}{\text{Aktiv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5635" cy="2816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F2A5B" w:rsidRDefault="00CA6714" w:rsidP="005D7867">
      <w:pPr>
        <w:rPr>
          <w:b/>
          <w:sz w:val="28"/>
        </w:rPr>
      </w:pPr>
      <w:r>
        <w:rPr>
          <w:noProof/>
          <w:lang w:eastAsia="da-DK"/>
        </w:rPr>
        <w:drawing>
          <wp:inline distT="0" distB="0" distL="0" distR="0" wp14:anchorId="7B8A81A6" wp14:editId="0B9CC826">
            <wp:extent cx="2694842" cy="306997"/>
            <wp:effectExtent l="0" t="0" r="0" b="0"/>
            <wp:docPr id="23" name="Picture 15" descr="\text {Likviditetsgrad} = \frac {\text {Omsætningsaktiver x 100}}{\text {Kortfristede gældsforpligt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text {Likviditetsgrad} = \frac {\text {Omsætningsaktiver x 100}}{\text {Kortfristede gældsforpligtels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94842" cy="30699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E3827" w:rsidRPr="003E3827" w:rsidRDefault="003E3827" w:rsidP="005D7867">
      <w:pPr>
        <w:rPr>
          <w:b/>
          <w:sz w:val="24"/>
        </w:rPr>
      </w:pPr>
      <w:r>
        <w:rPr>
          <w:sz w:val="24"/>
        </w:rPr>
        <w:t xml:space="preserve">Kilde: </w:t>
      </w:r>
      <w:r w:rsidRPr="00173198">
        <w:rPr>
          <w:color w:val="000000"/>
          <w:sz w:val="24"/>
        </w:rPr>
        <w:t xml:space="preserve">Bang, Knud Erik m.fl.: Virksomhedsøkonomi A1. Systime, 2010. Internetadresse: </w:t>
      </w:r>
      <w:hyperlink r:id="rId40" w:history="1">
        <w:r w:rsidRPr="00173198">
          <w:rPr>
            <w:rStyle w:val="Hyperlink"/>
            <w:sz w:val="24"/>
          </w:rPr>
          <w:t>http://voa1.systime.dk/index.php?id=813</w:t>
        </w:r>
      </w:hyperlink>
      <w:r>
        <w:rPr>
          <w:color w:val="000000"/>
          <w:sz w:val="24"/>
        </w:rPr>
        <w:t xml:space="preserve">. </w:t>
      </w:r>
      <w:r w:rsidRPr="00173198">
        <w:rPr>
          <w:color w:val="000000"/>
          <w:sz w:val="24"/>
        </w:rPr>
        <w:t>- Besøgt d. 04.02.2015 (EBog)</w:t>
      </w:r>
    </w:p>
    <w:sectPr w:rsidR="003E3827" w:rsidRPr="003E3827" w:rsidSect="00AF1DBB">
      <w:footerReference w:type="default" r:id="rId41"/>
      <w:footerReference w:type="first" r:id="rId42"/>
      <w:pgSz w:w="11906" w:h="16838"/>
      <w:pgMar w:top="1701" w:right="1418" w:bottom="1701" w:left="1418" w:header="79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46" w:rsidRDefault="00F24B46" w:rsidP="00BC0AD7">
      <w:pPr>
        <w:spacing w:line="240" w:lineRule="auto"/>
      </w:pPr>
      <w:r>
        <w:separator/>
      </w:r>
    </w:p>
  </w:endnote>
  <w:endnote w:type="continuationSeparator" w:id="0">
    <w:p w:rsidR="00F24B46" w:rsidRDefault="00F24B46" w:rsidP="00BC0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B6" w:rsidRDefault="00A95CB6">
    <w:pPr>
      <w:pStyle w:val="Footer"/>
      <w:jc w:val="right"/>
    </w:pPr>
  </w:p>
  <w:p w:rsidR="00A95CB6" w:rsidRDefault="00A95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B6" w:rsidRDefault="00A95CB6" w:rsidP="00DA43C2">
    <w:pPr>
      <w:pStyle w:val="Footer"/>
    </w:pPr>
  </w:p>
  <w:p w:rsidR="00A95CB6" w:rsidRDefault="00A95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815533"/>
      <w:docPartObj>
        <w:docPartGallery w:val="Page Numbers (Bottom of Page)"/>
        <w:docPartUnique/>
      </w:docPartObj>
    </w:sdtPr>
    <w:sdtEndPr/>
    <w:sdtContent>
      <w:sdt>
        <w:sdtPr>
          <w:id w:val="357553160"/>
          <w:docPartObj>
            <w:docPartGallery w:val="Page Numbers (Top of Page)"/>
            <w:docPartUnique/>
          </w:docPartObj>
        </w:sdtPr>
        <w:sdtEndPr/>
        <w:sdtContent>
          <w:p w:rsidR="00A95CB6" w:rsidRDefault="00A95CB6">
            <w:pPr>
              <w:pStyle w:val="Footer"/>
              <w:jc w:val="right"/>
            </w:pPr>
            <w:r>
              <w:t xml:space="preserve">Side </w:t>
            </w:r>
            <w:r>
              <w:rPr>
                <w:b/>
                <w:bCs/>
                <w:sz w:val="24"/>
                <w:szCs w:val="24"/>
              </w:rPr>
              <w:fldChar w:fldCharType="begin"/>
            </w:r>
            <w:r>
              <w:rPr>
                <w:b/>
                <w:bCs/>
              </w:rPr>
              <w:instrText>PAGE</w:instrText>
            </w:r>
            <w:r>
              <w:rPr>
                <w:b/>
                <w:bCs/>
                <w:sz w:val="24"/>
                <w:szCs w:val="24"/>
              </w:rPr>
              <w:fldChar w:fldCharType="separate"/>
            </w:r>
            <w:r w:rsidR="00C819E3">
              <w:rPr>
                <w:b/>
                <w:bCs/>
                <w:noProof/>
              </w:rPr>
              <w:t>9</w:t>
            </w:r>
            <w:r>
              <w:rPr>
                <w:b/>
                <w:bCs/>
                <w:sz w:val="24"/>
                <w:szCs w:val="24"/>
              </w:rPr>
              <w:fldChar w:fldCharType="end"/>
            </w:r>
            <w:r>
              <w:t xml:space="preserve"> af </w:t>
            </w:r>
            <w:r>
              <w:rPr>
                <w:b/>
                <w:bCs/>
                <w:sz w:val="24"/>
                <w:szCs w:val="24"/>
              </w:rPr>
              <w:t>28</w:t>
            </w:r>
          </w:p>
        </w:sdtContent>
      </w:sdt>
    </w:sdtContent>
  </w:sdt>
  <w:p w:rsidR="00A95CB6" w:rsidRDefault="00A95C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186246"/>
      <w:docPartObj>
        <w:docPartGallery w:val="Page Numbers (Bottom of Page)"/>
        <w:docPartUnique/>
      </w:docPartObj>
    </w:sdtPr>
    <w:sdtEndPr/>
    <w:sdtContent>
      <w:sdt>
        <w:sdtPr>
          <w:id w:val="-1769616900"/>
          <w:docPartObj>
            <w:docPartGallery w:val="Page Numbers (Top of Page)"/>
            <w:docPartUnique/>
          </w:docPartObj>
        </w:sdtPr>
        <w:sdtEndPr/>
        <w:sdtContent>
          <w:p w:rsidR="00A95CB6" w:rsidRDefault="00A95CB6">
            <w:pPr>
              <w:pStyle w:val="Footer"/>
              <w:jc w:val="right"/>
            </w:pPr>
            <w:r>
              <w:t xml:space="preserve">Side </w:t>
            </w:r>
            <w:r>
              <w:rPr>
                <w:b/>
                <w:bCs/>
                <w:sz w:val="24"/>
                <w:szCs w:val="24"/>
              </w:rPr>
              <w:fldChar w:fldCharType="begin"/>
            </w:r>
            <w:r>
              <w:rPr>
                <w:b/>
                <w:bCs/>
              </w:rPr>
              <w:instrText xml:space="preserve"> PAGE </w:instrText>
            </w:r>
            <w:r>
              <w:rPr>
                <w:b/>
                <w:bCs/>
                <w:sz w:val="24"/>
                <w:szCs w:val="24"/>
              </w:rPr>
              <w:fldChar w:fldCharType="separate"/>
            </w:r>
            <w:r w:rsidR="00C819E3">
              <w:rPr>
                <w:b/>
                <w:bCs/>
                <w:noProof/>
              </w:rPr>
              <w:t>1</w:t>
            </w:r>
            <w:r>
              <w:rPr>
                <w:b/>
                <w:bCs/>
                <w:sz w:val="24"/>
                <w:szCs w:val="24"/>
              </w:rPr>
              <w:fldChar w:fldCharType="end"/>
            </w:r>
            <w:r>
              <w:t xml:space="preserve"> af </w:t>
            </w:r>
            <w:r>
              <w:rPr>
                <w:b/>
                <w:bCs/>
                <w:sz w:val="24"/>
                <w:szCs w:val="24"/>
              </w:rPr>
              <w:t>28</w:t>
            </w:r>
          </w:p>
        </w:sdtContent>
      </w:sdt>
    </w:sdtContent>
  </w:sdt>
  <w:p w:rsidR="00A95CB6" w:rsidRDefault="00A95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46" w:rsidRDefault="00F24B46" w:rsidP="00BC0AD7">
      <w:pPr>
        <w:spacing w:line="240" w:lineRule="auto"/>
      </w:pPr>
      <w:r>
        <w:separator/>
      </w:r>
    </w:p>
  </w:footnote>
  <w:footnote w:type="continuationSeparator" w:id="0">
    <w:p w:rsidR="00F24B46" w:rsidRDefault="00F24B46" w:rsidP="00BC0AD7">
      <w:pPr>
        <w:spacing w:line="240" w:lineRule="auto"/>
      </w:pPr>
      <w:r>
        <w:continuationSeparator/>
      </w:r>
    </w:p>
  </w:footnote>
  <w:footnote w:id="1">
    <w:p w:rsidR="00A95CB6" w:rsidRPr="004D3556" w:rsidRDefault="00A95CB6" w:rsidP="004D3556">
      <w:pPr>
        <w:pStyle w:val="FootnoteText"/>
        <w:rPr>
          <w:lang w:val="en-US"/>
        </w:rPr>
      </w:pPr>
      <w:r w:rsidRPr="00985BA8">
        <w:rPr>
          <w:rStyle w:val="FootnoteReference"/>
        </w:rPr>
        <w:footnoteRef/>
      </w:r>
      <w:r w:rsidRPr="004D3556">
        <w:rPr>
          <w:lang w:val="en-US"/>
        </w:rPr>
        <w:t xml:space="preserve">Petersen, Christian V. og Thomas Plenborg: Financial Statement Analysis . 1. udg. Financial </w:t>
      </w:r>
    </w:p>
    <w:p w:rsidR="00A95CB6" w:rsidRPr="000A2888" w:rsidRDefault="00A95CB6" w:rsidP="004D3556">
      <w:pPr>
        <w:pStyle w:val="FootnoteText"/>
        <w:rPr>
          <w:lang w:val="en-US"/>
        </w:rPr>
      </w:pPr>
      <w:r w:rsidRPr="004D3556">
        <w:rPr>
          <w:lang w:val="en-US"/>
        </w:rPr>
        <w:t>Times Prentice Hall, 2012. (Bog)</w:t>
      </w:r>
      <w:r w:rsidRPr="000A2888">
        <w:rPr>
          <w:lang w:val="en-US"/>
        </w:rPr>
        <w:t xml:space="preserve"> s. 235</w:t>
      </w:r>
    </w:p>
  </w:footnote>
  <w:footnote w:id="2">
    <w:p w:rsidR="00A95CB6" w:rsidRPr="000A2888" w:rsidRDefault="00A95CB6" w:rsidP="00C94069">
      <w:pPr>
        <w:pStyle w:val="FootnoteText"/>
        <w:rPr>
          <w:lang w:val="en-US"/>
        </w:rPr>
      </w:pPr>
      <w:r>
        <w:rPr>
          <w:rStyle w:val="FootnoteReference"/>
        </w:rPr>
        <w:footnoteRef/>
      </w:r>
      <w:r w:rsidRPr="000A2888">
        <w:rPr>
          <w:lang w:val="en-US"/>
        </w:rPr>
        <w:t xml:space="preserve"> </w:t>
      </w:r>
      <w:r>
        <w:rPr>
          <w:color w:val="000000"/>
          <w:lang w:val="en-US"/>
        </w:rPr>
        <w:t xml:space="preserve">Koller, Tim m.fl. </w:t>
      </w:r>
      <w:r w:rsidRPr="00985BA8">
        <w:rPr>
          <w:color w:val="000000"/>
          <w:lang w:val="en-US"/>
        </w:rPr>
        <w:t>: Valuation - Mckinsey &amp; Company. 5. udg. John Wiley &amp; Sons, 2010.</w:t>
      </w:r>
      <w:r>
        <w:rPr>
          <w:color w:val="000000"/>
          <w:lang w:val="en-US"/>
        </w:rPr>
        <w:t xml:space="preserve"> </w:t>
      </w:r>
      <w:r w:rsidRPr="00985BA8">
        <w:rPr>
          <w:color w:val="000000"/>
          <w:lang w:val="en-US"/>
        </w:rPr>
        <w:t>(Bog)</w:t>
      </w:r>
      <w:r w:rsidRPr="00996861">
        <w:rPr>
          <w:color w:val="000000"/>
          <w:lang w:val="en-US"/>
        </w:rPr>
        <w:t xml:space="preserve"> </w:t>
      </w:r>
      <w:r>
        <w:rPr>
          <w:color w:val="000000"/>
          <w:lang w:val="en-US"/>
        </w:rPr>
        <w:t>s.101</w:t>
      </w:r>
    </w:p>
  </w:footnote>
  <w:footnote w:id="3">
    <w:p w:rsidR="00A95CB6" w:rsidRDefault="00A95CB6" w:rsidP="00C94069">
      <w:pPr>
        <w:pStyle w:val="FootnoteText"/>
      </w:pPr>
      <w:r>
        <w:rPr>
          <w:rStyle w:val="FootnoteReference"/>
        </w:rPr>
        <w:footnoteRef/>
      </w:r>
      <w:r>
        <w:t xml:space="preserve"> Pengestrømsopgørelsen er kun lovpligtigt hos børsnoterede virksomheder samt virksomheder fra regnskabsklasse C og D. Ved virksomheder i regnskabsklasse A og B, er det nødvendigt at lave en reformulering af regnskab for at finde de nødvendige tal til bestemmelse af NOPAT m.fl. Kilde: </w:t>
      </w:r>
      <w:r w:rsidRPr="0038622C">
        <w:t>Virksomhedens årsrapport. Hansen, Lone m.fl.: I: Økonomistyring og virksomhedsanalyse. 5. udg. Hans Reitzels forlag, 2013. side 194-195. (Afsnit i bog)</w:t>
      </w:r>
    </w:p>
  </w:footnote>
  <w:footnote w:id="4">
    <w:p w:rsidR="00A95CB6" w:rsidRDefault="00A95CB6" w:rsidP="00C94069">
      <w:pPr>
        <w:pStyle w:val="FootnoteText"/>
      </w:pPr>
      <w:r>
        <w:rPr>
          <w:rStyle w:val="FootnoteReference"/>
        </w:rPr>
        <w:footnoteRef/>
      </w:r>
      <w:r>
        <w:t xml:space="preserve"> Koller m.fl.(2010) s.300</w:t>
      </w:r>
    </w:p>
  </w:footnote>
  <w:footnote w:id="5">
    <w:p w:rsidR="00A95CB6" w:rsidRDefault="00A95CB6" w:rsidP="00C94069">
      <w:pPr>
        <w:pStyle w:val="FootnoteText"/>
      </w:pPr>
      <w:r>
        <w:rPr>
          <w:rStyle w:val="FootnoteReference"/>
        </w:rPr>
        <w:footnoteRef/>
      </w:r>
      <w:r>
        <w:t xml:space="preserve"> Koller m.fl. (2010) s.38</w:t>
      </w:r>
    </w:p>
  </w:footnote>
  <w:footnote w:id="6">
    <w:p w:rsidR="00A95CB6" w:rsidRPr="00AA15FF" w:rsidRDefault="00A95CB6" w:rsidP="00C94069">
      <w:pPr>
        <w:pStyle w:val="FootnoteText"/>
      </w:pPr>
      <w:r w:rsidRPr="00985BA8">
        <w:rPr>
          <w:rStyle w:val="FootnoteReference"/>
        </w:rPr>
        <w:footnoteRef/>
      </w:r>
      <w:r w:rsidRPr="00AA15FF">
        <w:t xml:space="preserve"> Koller m.fl</w:t>
      </w:r>
      <w:r>
        <w:t>.</w:t>
      </w:r>
      <w:r w:rsidRPr="00AA15FF">
        <w:t xml:space="preserve"> (2010) s. 106</w:t>
      </w:r>
    </w:p>
  </w:footnote>
  <w:footnote w:id="7">
    <w:p w:rsidR="00A95CB6" w:rsidRDefault="00A95CB6" w:rsidP="00C94069">
      <w:pPr>
        <w:pStyle w:val="FootnoteText"/>
      </w:pPr>
      <w:r>
        <w:rPr>
          <w:rStyle w:val="FootnoteReference"/>
        </w:rPr>
        <w:footnoteRef/>
      </w:r>
      <w:r>
        <w:t xml:space="preserve"> Petersen m. fl (2012) s. 246</w:t>
      </w:r>
    </w:p>
  </w:footnote>
  <w:footnote w:id="8">
    <w:p w:rsidR="00A95CB6" w:rsidRDefault="00A95CB6" w:rsidP="00C94069">
      <w:pPr>
        <w:pStyle w:val="FootnoteText"/>
      </w:pPr>
      <w:r>
        <w:rPr>
          <w:rStyle w:val="FootnoteReference"/>
        </w:rPr>
        <w:footnoteRef/>
      </w:r>
      <w:r>
        <w:t xml:space="preserve"> CAPM er et fremragende alternativt værktøj til at finde cost of equity for børsnoterede virksomheder. Koller m. fl. (2010) s. 234</w:t>
      </w:r>
    </w:p>
  </w:footnote>
  <w:footnote w:id="9">
    <w:p w:rsidR="00A95CB6" w:rsidRDefault="00A95CB6" w:rsidP="00C94069">
      <w:pPr>
        <w:pStyle w:val="FootnoteText"/>
      </w:pPr>
      <w:r>
        <w:rPr>
          <w:rStyle w:val="FootnoteReference"/>
        </w:rPr>
        <w:footnoteRef/>
      </w:r>
      <w:r>
        <w:t xml:space="preserve"> Koller m. fl (2010) s. 33</w:t>
      </w:r>
    </w:p>
  </w:footnote>
  <w:footnote w:id="10">
    <w:p w:rsidR="00A95CB6" w:rsidRDefault="00A95CB6" w:rsidP="00C94069">
      <w:pPr>
        <w:pStyle w:val="FootnoteText"/>
      </w:pPr>
      <w:r>
        <w:rPr>
          <w:rStyle w:val="FootnoteReference"/>
        </w:rPr>
        <w:footnoteRef/>
      </w:r>
      <w:r>
        <w:t xml:space="preserve"> Petersen m. fl. (2012) s. 265</w:t>
      </w:r>
    </w:p>
  </w:footnote>
  <w:footnote w:id="11">
    <w:p w:rsidR="00A95CB6" w:rsidRDefault="00A95CB6" w:rsidP="00C94069">
      <w:pPr>
        <w:pStyle w:val="FootnoteText"/>
      </w:pPr>
      <w:r>
        <w:rPr>
          <w:rStyle w:val="FootnoteReference"/>
        </w:rPr>
        <w:footnoteRef/>
      </w:r>
      <w:r>
        <w:t xml:space="preserve"> Egne oversættelser, kilde: Petersen m. fl (2012) s. 217</w:t>
      </w:r>
    </w:p>
  </w:footnote>
  <w:footnote w:id="12">
    <w:p w:rsidR="00A95CB6" w:rsidRDefault="00A95CB6">
      <w:pPr>
        <w:pStyle w:val="FootnoteText"/>
      </w:pPr>
      <w:r>
        <w:rPr>
          <w:rStyle w:val="FootnoteReference"/>
        </w:rPr>
        <w:footnoteRef/>
      </w:r>
      <w:r>
        <w:t xml:space="preserve"> Petersen m. fl (2012) s. 217</w:t>
      </w:r>
    </w:p>
  </w:footnote>
  <w:footnote w:id="13">
    <w:p w:rsidR="00A95CB6" w:rsidRDefault="00A95CB6" w:rsidP="00C94069">
      <w:pPr>
        <w:pStyle w:val="FootnoteText"/>
      </w:pPr>
      <w:r>
        <w:rPr>
          <w:rStyle w:val="FootnoteReference"/>
        </w:rPr>
        <w:footnoteRef/>
      </w:r>
      <w:r>
        <w:t xml:space="preserve"> Petersen m. fl (2012) s. 217</w:t>
      </w:r>
    </w:p>
  </w:footnote>
  <w:footnote w:id="14">
    <w:p w:rsidR="00A95CB6" w:rsidRDefault="00A95CB6" w:rsidP="00C94069">
      <w:pPr>
        <w:pStyle w:val="FootnoteText"/>
      </w:pPr>
      <w:r>
        <w:rPr>
          <w:rStyle w:val="FootnoteReference"/>
        </w:rPr>
        <w:footnoteRef/>
      </w:r>
      <w:r>
        <w:t xml:space="preserve"> Petersen m.fl. (2012) s. 241</w:t>
      </w:r>
    </w:p>
  </w:footnote>
  <w:footnote w:id="15">
    <w:p w:rsidR="00A95CB6" w:rsidRPr="002B613F" w:rsidRDefault="00A95CB6">
      <w:pPr>
        <w:pStyle w:val="FootnoteText"/>
      </w:pPr>
      <w:r w:rsidRPr="002463E8">
        <w:rPr>
          <w:rStyle w:val="FootnoteReference"/>
        </w:rPr>
        <w:footnoteRef/>
      </w:r>
      <w:r>
        <w:t xml:space="preserve"> </w:t>
      </w:r>
      <w:r w:rsidR="00142A7E">
        <w:t>u</w:t>
      </w:r>
      <w:r w:rsidRPr="002B613F">
        <w:t xml:space="preserve">(jan. 2014) </w:t>
      </w:r>
      <w:r w:rsidRPr="002B613F">
        <w:rPr>
          <w:color w:val="000000"/>
        </w:rPr>
        <w:t>10-årig statsobligation . Udgivet af Danmarks Statistik . Internetadresse:</w:t>
      </w:r>
      <w:r w:rsidRPr="002B613F">
        <w:rPr>
          <w:color w:val="0000FF"/>
          <w:u w:val="single"/>
        </w:rPr>
        <w:t>http://www.statistikbanken.dk/Statbank5a/SelectVarVal/saveselections.asp</w:t>
      </w:r>
      <w:r w:rsidRPr="002B613F">
        <w:rPr>
          <w:rStyle w:val="apple-converted-space"/>
          <w:color w:val="000000"/>
        </w:rPr>
        <w:t> </w:t>
      </w:r>
      <w:r w:rsidRPr="002B613F">
        <w:rPr>
          <w:color w:val="000000"/>
        </w:rPr>
        <w:t>- Besøgt d. 08.02.2015 (Internet)</w:t>
      </w:r>
    </w:p>
  </w:footnote>
  <w:footnote w:id="16">
    <w:p w:rsidR="00A95CB6" w:rsidRPr="00EF2A5B" w:rsidRDefault="00A95CB6">
      <w:pPr>
        <w:pStyle w:val="FootnoteText"/>
        <w:rPr>
          <w:lang w:val="en-US"/>
        </w:rPr>
      </w:pPr>
      <w:r w:rsidRPr="002B613F">
        <w:rPr>
          <w:rStyle w:val="FootnoteReference"/>
        </w:rPr>
        <w:footnoteRef/>
      </w:r>
      <w:r w:rsidRPr="00EF2A5B">
        <w:rPr>
          <w:lang w:val="en-US"/>
        </w:rPr>
        <w:t xml:space="preserve"> Petersen m. fl. (2012) s. 103-105</w:t>
      </w:r>
    </w:p>
  </w:footnote>
  <w:footnote w:id="17">
    <w:p w:rsidR="00A95CB6" w:rsidRPr="00EF2A5B" w:rsidRDefault="00A95CB6">
      <w:pPr>
        <w:pStyle w:val="FootnoteText"/>
        <w:rPr>
          <w:lang w:val="en-US"/>
        </w:rPr>
      </w:pPr>
      <w:r w:rsidRPr="002B613F">
        <w:rPr>
          <w:rStyle w:val="FootnoteReference"/>
        </w:rPr>
        <w:footnoteRef/>
      </w:r>
      <w:r w:rsidRPr="00EF2A5B">
        <w:rPr>
          <w:lang w:val="en-US"/>
        </w:rPr>
        <w:t xml:space="preserve"> NCC Forretningsområder: Industrial, Construction and Engineering, Development.</w:t>
      </w:r>
    </w:p>
  </w:footnote>
  <w:footnote w:id="18">
    <w:p w:rsidR="00A95CB6" w:rsidRDefault="00A95CB6">
      <w:pPr>
        <w:pStyle w:val="FootnoteText"/>
      </w:pPr>
      <w:r>
        <w:rPr>
          <w:rStyle w:val="FootnoteReference"/>
        </w:rPr>
        <w:footnoteRef/>
      </w:r>
      <w:r>
        <w:t xml:space="preserve"> Fremgår af MT Højgaards nøgletal i årsrapporten for 2013</w:t>
      </w:r>
    </w:p>
  </w:footnote>
  <w:footnote w:id="19">
    <w:p w:rsidR="00A95CB6" w:rsidRDefault="00A95CB6">
      <w:pPr>
        <w:pStyle w:val="FootnoteText"/>
      </w:pPr>
      <w:r>
        <w:rPr>
          <w:rStyle w:val="FootnoteReference"/>
        </w:rPr>
        <w:footnoteRef/>
      </w:r>
      <w:r>
        <w:t xml:space="preserve"> Årsrapport for MT Højgaard 2013</w:t>
      </w:r>
    </w:p>
  </w:footnote>
  <w:footnote w:id="20">
    <w:p w:rsidR="00A95CB6" w:rsidRDefault="00A95CB6">
      <w:pPr>
        <w:pStyle w:val="FootnoteText"/>
        <w:rPr>
          <w:rFonts w:ascii="Verdana" w:hAnsi="Verdana"/>
          <w:color w:val="000000"/>
        </w:rPr>
      </w:pPr>
      <w:r>
        <w:rPr>
          <w:rStyle w:val="FootnoteReference"/>
        </w:rPr>
        <w:footnoteRef/>
      </w:r>
      <w:r>
        <w:t xml:space="preserve"> </w:t>
      </w:r>
      <w:r>
        <w:rPr>
          <w:rFonts w:ascii="Verdana" w:hAnsi="Verdana"/>
          <w:color w:val="000000"/>
        </w:rPr>
        <w:t xml:space="preserve">Bang, Knud Erik m.fl.: Virksomhedsøkonomi A1. Systime, 2010. Internetadresse: </w:t>
      </w:r>
      <w:hyperlink r:id="rId1" w:history="1">
        <w:r w:rsidRPr="002D5FE1">
          <w:rPr>
            <w:rStyle w:val="Hyperlink"/>
            <w:rFonts w:ascii="Verdana" w:hAnsi="Verdana"/>
          </w:rPr>
          <w:t>http://voa1.systime.dk/index.php?id=813</w:t>
        </w:r>
      </w:hyperlink>
      <w:r>
        <w:rPr>
          <w:rFonts w:ascii="Verdana" w:hAnsi="Verdana"/>
          <w:color w:val="000000"/>
        </w:rPr>
        <w:t>. Kap 16.2- Besøgt d. 04.02.2015 (EBog)</w:t>
      </w:r>
    </w:p>
    <w:p w:rsidR="00A95CB6" w:rsidRDefault="00A95CB6">
      <w:pPr>
        <w:pStyle w:val="FootnoteText"/>
      </w:pPr>
    </w:p>
  </w:footnote>
  <w:footnote w:id="21">
    <w:p w:rsidR="00A95CB6" w:rsidRDefault="00A95CB6">
      <w:pPr>
        <w:pStyle w:val="FootnoteText"/>
      </w:pPr>
      <w:r>
        <w:rPr>
          <w:rStyle w:val="FootnoteReference"/>
        </w:rPr>
        <w:footnoteRef/>
      </w:r>
      <w:r>
        <w:t xml:space="preserve"> Bang m. fl., 2010, kap 16.2</w:t>
      </w:r>
    </w:p>
  </w:footnote>
  <w:footnote w:id="22">
    <w:p w:rsidR="00A95CB6" w:rsidRPr="00F94A93" w:rsidRDefault="00A95CB6">
      <w:pPr>
        <w:pStyle w:val="FootnoteText"/>
      </w:pPr>
      <w:r w:rsidRPr="00F94A93">
        <w:rPr>
          <w:rStyle w:val="FootnoteReference"/>
        </w:rPr>
        <w:footnoteRef/>
      </w:r>
      <w:r w:rsidRPr="00F94A93">
        <w:t xml:space="preserve"> </w:t>
      </w:r>
      <w:r w:rsidRPr="00F94A93">
        <w:rPr>
          <w:color w:val="000000"/>
        </w:rPr>
        <w:t>Thorshøj, Niverød . Udgivet af NCC Bolig. Internetadresse:</w:t>
      </w:r>
      <w:r w:rsidRPr="00F94A93">
        <w:rPr>
          <w:rStyle w:val="apple-converted-space"/>
          <w:color w:val="000000"/>
        </w:rPr>
        <w:t> </w:t>
      </w:r>
      <w:r w:rsidRPr="00F94A93">
        <w:rPr>
          <w:color w:val="0000FF"/>
          <w:u w:val="single"/>
        </w:rPr>
        <w:t>http://www.ncc.dk/ledige-boliger/sog-bolig/niverod/thorshoj/</w:t>
      </w:r>
      <w:r w:rsidRPr="00F94A93">
        <w:rPr>
          <w:rStyle w:val="apple-converted-space"/>
          <w:color w:val="000000"/>
        </w:rPr>
        <w:t> </w:t>
      </w:r>
      <w:r w:rsidRPr="00F94A93">
        <w:rPr>
          <w:color w:val="000000"/>
        </w:rPr>
        <w:t>- Besøgt d. 08.02.2015 (Internet)</w:t>
      </w:r>
    </w:p>
  </w:footnote>
  <w:footnote w:id="23">
    <w:p w:rsidR="00A95CB6" w:rsidRPr="007C7888" w:rsidRDefault="00A95CB6">
      <w:pPr>
        <w:pStyle w:val="FootnoteText"/>
      </w:pPr>
      <w:r w:rsidRPr="007C7888">
        <w:rPr>
          <w:rStyle w:val="FootnoteReference"/>
        </w:rPr>
        <w:footnoteRef/>
      </w:r>
      <w:r w:rsidRPr="007C7888">
        <w:t xml:space="preserve"> Petersen (2012)  s. 106</w:t>
      </w:r>
    </w:p>
  </w:footnote>
  <w:footnote w:id="24">
    <w:p w:rsidR="00A95CB6" w:rsidRPr="007C7888" w:rsidRDefault="00A95CB6">
      <w:pPr>
        <w:pStyle w:val="FootnoteText"/>
      </w:pPr>
      <w:r w:rsidRPr="007C7888">
        <w:rPr>
          <w:rStyle w:val="FootnoteReference"/>
        </w:rPr>
        <w:footnoteRef/>
      </w:r>
      <w:r w:rsidRPr="007C7888">
        <w:t xml:space="preserve"> </w:t>
      </w:r>
      <w:r w:rsidRPr="007C7888">
        <w:rPr>
          <w:color w:val="000000"/>
        </w:rPr>
        <w:t>10-årig statsobligation . Udgivet af Danmarks Statistik . Internetadresse:</w:t>
      </w:r>
      <w:r w:rsidRPr="007C7888">
        <w:rPr>
          <w:color w:val="0000FF"/>
          <w:u w:val="single"/>
        </w:rPr>
        <w:t>http://www.statistikbanken.dk/Statbank5a/SelectVarVal/saveselections.asp</w:t>
      </w:r>
      <w:r w:rsidRPr="007C7888">
        <w:rPr>
          <w:rStyle w:val="apple-converted-space"/>
          <w:color w:val="000000"/>
        </w:rPr>
        <w:t> </w:t>
      </w:r>
      <w:r w:rsidRPr="007C7888">
        <w:rPr>
          <w:color w:val="000000"/>
        </w:rPr>
        <w:t>- Besøgt d. 08.02.2015 (Internet)</w:t>
      </w:r>
    </w:p>
  </w:footnote>
  <w:footnote w:id="25">
    <w:p w:rsidR="00A95CB6" w:rsidRPr="007C7888" w:rsidRDefault="00A95CB6">
      <w:pPr>
        <w:pStyle w:val="FootnoteText"/>
      </w:pPr>
      <w:r w:rsidRPr="007C7888">
        <w:rPr>
          <w:rStyle w:val="FootnoteReference"/>
        </w:rPr>
        <w:footnoteRef/>
      </w:r>
      <w:r w:rsidRPr="007C7888">
        <w:t xml:space="preserve"> Det fremgår af Huscompagniets årsrapport for 2013, at den rentebærende gæld kun består af bankgælden, da der ikke er nogle øvre lån i kreditinstitutter. </w:t>
      </w:r>
    </w:p>
  </w:footnote>
  <w:footnote w:id="26">
    <w:p w:rsidR="00A95CB6" w:rsidRDefault="00A95CB6">
      <w:pPr>
        <w:pStyle w:val="FootnoteText"/>
      </w:pPr>
      <w:r w:rsidRPr="007C7888">
        <w:rPr>
          <w:rStyle w:val="FootnoteReference"/>
        </w:rPr>
        <w:footnoteRef/>
      </w:r>
      <w:r w:rsidRPr="007C7888">
        <w:t xml:space="preserve"> </w:t>
      </w:r>
      <w:r w:rsidRPr="007C7888">
        <w:rPr>
          <w:color w:val="000000"/>
        </w:rPr>
        <w:t>Selskabsskattesatser i EU-landene 1995-2014. Udgivet af skatteministeriet. Internetadresse:</w:t>
      </w:r>
      <w:r w:rsidRPr="007C7888">
        <w:rPr>
          <w:color w:val="0000FF"/>
          <w:u w:val="single"/>
        </w:rPr>
        <w:t>http://www.skm.dk/skattetal/statistik/generel-skattestatistik/selskabsskattesatser-i-eu-landene-1995-2014/</w:t>
      </w:r>
      <w:r w:rsidRPr="007C7888">
        <w:rPr>
          <w:rStyle w:val="apple-converted-space"/>
          <w:color w:val="000000"/>
        </w:rPr>
        <w:t> </w:t>
      </w:r>
      <w:r w:rsidRPr="007C7888">
        <w:rPr>
          <w:color w:val="000000"/>
        </w:rPr>
        <w:t>- Besøgt d. 08.02.2015 (Internet)</w:t>
      </w:r>
    </w:p>
  </w:footnote>
  <w:footnote w:id="27">
    <w:p w:rsidR="00A95CB6" w:rsidRDefault="00A95CB6">
      <w:pPr>
        <w:pStyle w:val="FootnoteText"/>
      </w:pPr>
      <w:r>
        <w:rPr>
          <w:rStyle w:val="FootnoteReference"/>
        </w:rPr>
        <w:footnoteRef/>
      </w:r>
      <w:r>
        <w:t xml:space="preserve"> Tal fra Huscompagniets årsrapport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B6" w:rsidRDefault="00A95CB6">
    <w:pPr>
      <w:pStyle w:val="Header"/>
    </w:pPr>
    <w:r>
      <w:t>Frederik Søegaard Nielsen</w:t>
    </w:r>
    <w:r>
      <w:ptab w:relativeTo="margin" w:alignment="center" w:leader="none"/>
    </w:r>
    <w:r>
      <w:t>3.I</w:t>
    </w:r>
    <w:r>
      <w:ptab w:relativeTo="margin" w:alignment="right" w:leader="none"/>
    </w:r>
    <w:r>
      <w:t xml:space="preserve">Roskilde Handelsskole </w:t>
    </w:r>
  </w:p>
  <w:p w:rsidR="00A95CB6" w:rsidRDefault="00A95CB6" w:rsidP="00806E2A">
    <w:pPr>
      <w:pStyle w:val="Header"/>
      <w:tabs>
        <w:tab w:val="left" w:pos="4427"/>
      </w:tabs>
    </w:pPr>
    <w:r>
      <w:t>Virksomhedsøkonomi</w:t>
    </w:r>
    <w:r>
      <w:tab/>
    </w:r>
    <w:r>
      <w:tab/>
      <w:t>Finansiering</w:t>
    </w:r>
  </w:p>
  <w:p w:rsidR="00A95CB6" w:rsidRPr="00806E2A" w:rsidRDefault="00A95CB6" w:rsidP="000947EA">
    <w:pPr>
      <w:pStyle w:val="Header"/>
      <w:jc w:val="center"/>
    </w:pPr>
    <w:r>
      <w:t>Virksomhedsopkøb</w:t>
    </w:r>
  </w:p>
  <w:p w:rsidR="00A95CB6" w:rsidRDefault="00A95C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17F6"/>
    <w:multiLevelType w:val="hybridMultilevel"/>
    <w:tmpl w:val="00144EFC"/>
    <w:lvl w:ilvl="0" w:tplc="2A7C4196">
      <w:start w:val="1"/>
      <w:numFmt w:val="bullet"/>
      <w:pStyle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BA57165"/>
    <w:multiLevelType w:val="hybridMultilevel"/>
    <w:tmpl w:val="E1DEB0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F3F0829"/>
    <w:multiLevelType w:val="hybridMultilevel"/>
    <w:tmpl w:val="796A3B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F865ADF"/>
    <w:multiLevelType w:val="hybridMultilevel"/>
    <w:tmpl w:val="DD22F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05D2987"/>
    <w:multiLevelType w:val="singleLevel"/>
    <w:tmpl w:val="32F65FCE"/>
    <w:lvl w:ilvl="0">
      <w:start w:val="1"/>
      <w:numFmt w:val="bullet"/>
      <w:pStyle w:val="ListBullet"/>
      <w:lvlText w:val=""/>
      <w:lvlJc w:val="left"/>
      <w:pPr>
        <w:tabs>
          <w:tab w:val="num" w:pos="567"/>
        </w:tabs>
        <w:ind w:left="567" w:hanging="567"/>
      </w:pPr>
      <w:rPr>
        <w:rFonts w:ascii="Symbol" w:hAnsi="Symbol" w:hint="default"/>
      </w:rPr>
    </w:lvl>
  </w:abstractNum>
  <w:abstractNum w:abstractNumId="5">
    <w:nsid w:val="3837462B"/>
    <w:multiLevelType w:val="hybridMultilevel"/>
    <w:tmpl w:val="A008C7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8081E4E"/>
    <w:multiLevelType w:val="hybridMultilevel"/>
    <w:tmpl w:val="714E3E5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4AC11B10"/>
    <w:multiLevelType w:val="hybridMultilevel"/>
    <w:tmpl w:val="BB5082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EF704C5"/>
    <w:multiLevelType w:val="multilevel"/>
    <w:tmpl w:val="026AF0B4"/>
    <w:styleLink w:val="Bulletlist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9">
    <w:nsid w:val="651E056F"/>
    <w:multiLevelType w:val="hybridMultilevel"/>
    <w:tmpl w:val="9DFA00D4"/>
    <w:lvl w:ilvl="0" w:tplc="73CA9772">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66825B4F"/>
    <w:multiLevelType w:val="hybridMultilevel"/>
    <w:tmpl w:val="A296FF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F9602B4"/>
    <w:multiLevelType w:val="hybridMultilevel"/>
    <w:tmpl w:val="CB8A0FF4"/>
    <w:lvl w:ilvl="0" w:tplc="61E028D8">
      <w:start w:val="1"/>
      <w:numFmt w:val="bullet"/>
      <w:lvlText w:val="–"/>
      <w:lvlJc w:val="left"/>
      <w:pPr>
        <w:tabs>
          <w:tab w:val="num" w:pos="720"/>
        </w:tabs>
        <w:ind w:left="720" w:hanging="360"/>
      </w:pPr>
      <w:rPr>
        <w:rFonts w:ascii="Arial" w:hAnsi="Arial" w:hint="default"/>
      </w:rPr>
    </w:lvl>
    <w:lvl w:ilvl="1" w:tplc="54B61A70">
      <w:start w:val="1"/>
      <w:numFmt w:val="bullet"/>
      <w:lvlText w:val="–"/>
      <w:lvlJc w:val="left"/>
      <w:pPr>
        <w:tabs>
          <w:tab w:val="num" w:pos="1440"/>
        </w:tabs>
        <w:ind w:left="1440" w:hanging="360"/>
      </w:pPr>
      <w:rPr>
        <w:rFonts w:ascii="Arial" w:hAnsi="Arial" w:hint="default"/>
      </w:rPr>
    </w:lvl>
    <w:lvl w:ilvl="2" w:tplc="7BF61C52" w:tentative="1">
      <w:start w:val="1"/>
      <w:numFmt w:val="bullet"/>
      <w:lvlText w:val="–"/>
      <w:lvlJc w:val="left"/>
      <w:pPr>
        <w:tabs>
          <w:tab w:val="num" w:pos="2160"/>
        </w:tabs>
        <w:ind w:left="2160" w:hanging="360"/>
      </w:pPr>
      <w:rPr>
        <w:rFonts w:ascii="Arial" w:hAnsi="Arial" w:hint="default"/>
      </w:rPr>
    </w:lvl>
    <w:lvl w:ilvl="3" w:tplc="C262CDC2" w:tentative="1">
      <w:start w:val="1"/>
      <w:numFmt w:val="bullet"/>
      <w:lvlText w:val="–"/>
      <w:lvlJc w:val="left"/>
      <w:pPr>
        <w:tabs>
          <w:tab w:val="num" w:pos="2880"/>
        </w:tabs>
        <w:ind w:left="2880" w:hanging="360"/>
      </w:pPr>
      <w:rPr>
        <w:rFonts w:ascii="Arial" w:hAnsi="Arial" w:hint="default"/>
      </w:rPr>
    </w:lvl>
    <w:lvl w:ilvl="4" w:tplc="3DFAF9DA" w:tentative="1">
      <w:start w:val="1"/>
      <w:numFmt w:val="bullet"/>
      <w:lvlText w:val="–"/>
      <w:lvlJc w:val="left"/>
      <w:pPr>
        <w:tabs>
          <w:tab w:val="num" w:pos="3600"/>
        </w:tabs>
        <w:ind w:left="3600" w:hanging="360"/>
      </w:pPr>
      <w:rPr>
        <w:rFonts w:ascii="Arial" w:hAnsi="Arial" w:hint="default"/>
      </w:rPr>
    </w:lvl>
    <w:lvl w:ilvl="5" w:tplc="AEFC90B6" w:tentative="1">
      <w:start w:val="1"/>
      <w:numFmt w:val="bullet"/>
      <w:lvlText w:val="–"/>
      <w:lvlJc w:val="left"/>
      <w:pPr>
        <w:tabs>
          <w:tab w:val="num" w:pos="4320"/>
        </w:tabs>
        <w:ind w:left="4320" w:hanging="360"/>
      </w:pPr>
      <w:rPr>
        <w:rFonts w:ascii="Arial" w:hAnsi="Arial" w:hint="default"/>
      </w:rPr>
    </w:lvl>
    <w:lvl w:ilvl="6" w:tplc="1D3C0B7E" w:tentative="1">
      <w:start w:val="1"/>
      <w:numFmt w:val="bullet"/>
      <w:lvlText w:val="–"/>
      <w:lvlJc w:val="left"/>
      <w:pPr>
        <w:tabs>
          <w:tab w:val="num" w:pos="5040"/>
        </w:tabs>
        <w:ind w:left="5040" w:hanging="360"/>
      </w:pPr>
      <w:rPr>
        <w:rFonts w:ascii="Arial" w:hAnsi="Arial" w:hint="default"/>
      </w:rPr>
    </w:lvl>
    <w:lvl w:ilvl="7" w:tplc="5BCAEE2E" w:tentative="1">
      <w:start w:val="1"/>
      <w:numFmt w:val="bullet"/>
      <w:lvlText w:val="–"/>
      <w:lvlJc w:val="left"/>
      <w:pPr>
        <w:tabs>
          <w:tab w:val="num" w:pos="5760"/>
        </w:tabs>
        <w:ind w:left="5760" w:hanging="360"/>
      </w:pPr>
      <w:rPr>
        <w:rFonts w:ascii="Arial" w:hAnsi="Arial" w:hint="default"/>
      </w:rPr>
    </w:lvl>
    <w:lvl w:ilvl="8" w:tplc="1654FF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8"/>
  </w:num>
  <w:num w:numId="4">
    <w:abstractNumId w:val="3"/>
  </w:num>
  <w:num w:numId="5">
    <w:abstractNumId w:val="7"/>
  </w:num>
  <w:num w:numId="6">
    <w:abstractNumId w:val="2"/>
  </w:num>
  <w:num w:numId="7">
    <w:abstractNumId w:val="11"/>
  </w:num>
  <w:num w:numId="8">
    <w:abstractNumId w:val="10"/>
  </w:num>
  <w:num w:numId="9">
    <w:abstractNumId w:val="6"/>
  </w:num>
  <w:num w:numId="10">
    <w:abstractNumId w:val="5"/>
  </w:num>
  <w:num w:numId="11">
    <w:abstractNumId w:val="9"/>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D7"/>
    <w:rsid w:val="00004421"/>
    <w:rsid w:val="0001432F"/>
    <w:rsid w:val="00016692"/>
    <w:rsid w:val="00023532"/>
    <w:rsid w:val="000258D8"/>
    <w:rsid w:val="000277F1"/>
    <w:rsid w:val="00032A85"/>
    <w:rsid w:val="00033300"/>
    <w:rsid w:val="00040288"/>
    <w:rsid w:val="00041FC0"/>
    <w:rsid w:val="000513EE"/>
    <w:rsid w:val="00062246"/>
    <w:rsid w:val="000628CB"/>
    <w:rsid w:val="00062DF3"/>
    <w:rsid w:val="00063291"/>
    <w:rsid w:val="000664C1"/>
    <w:rsid w:val="0007635C"/>
    <w:rsid w:val="00083A03"/>
    <w:rsid w:val="00083BC3"/>
    <w:rsid w:val="000854F0"/>
    <w:rsid w:val="00085D51"/>
    <w:rsid w:val="000947EA"/>
    <w:rsid w:val="000A7C4D"/>
    <w:rsid w:val="000B50B2"/>
    <w:rsid w:val="000B5432"/>
    <w:rsid w:val="000B583F"/>
    <w:rsid w:val="000B674A"/>
    <w:rsid w:val="000B7D4D"/>
    <w:rsid w:val="000C1ECF"/>
    <w:rsid w:val="000C6A97"/>
    <w:rsid w:val="000D2851"/>
    <w:rsid w:val="000E4104"/>
    <w:rsid w:val="000E4584"/>
    <w:rsid w:val="000F47A2"/>
    <w:rsid w:val="000F4BEC"/>
    <w:rsid w:val="000F5892"/>
    <w:rsid w:val="000F5B91"/>
    <w:rsid w:val="0010387D"/>
    <w:rsid w:val="00104193"/>
    <w:rsid w:val="00113423"/>
    <w:rsid w:val="0013017C"/>
    <w:rsid w:val="001320D0"/>
    <w:rsid w:val="00135143"/>
    <w:rsid w:val="00137C4E"/>
    <w:rsid w:val="001419DA"/>
    <w:rsid w:val="00142A7E"/>
    <w:rsid w:val="00154A11"/>
    <w:rsid w:val="001574B4"/>
    <w:rsid w:val="00170DAF"/>
    <w:rsid w:val="00173198"/>
    <w:rsid w:val="00174A9E"/>
    <w:rsid w:val="001764C0"/>
    <w:rsid w:val="00192A9A"/>
    <w:rsid w:val="00194C0C"/>
    <w:rsid w:val="00194E28"/>
    <w:rsid w:val="00197634"/>
    <w:rsid w:val="001A654C"/>
    <w:rsid w:val="001B5693"/>
    <w:rsid w:val="001D31F7"/>
    <w:rsid w:val="001E22C4"/>
    <w:rsid w:val="001F3FBF"/>
    <w:rsid w:val="001F6D19"/>
    <w:rsid w:val="00200554"/>
    <w:rsid w:val="0020391F"/>
    <w:rsid w:val="00206835"/>
    <w:rsid w:val="0021546B"/>
    <w:rsid w:val="002167DB"/>
    <w:rsid w:val="00217595"/>
    <w:rsid w:val="0022287A"/>
    <w:rsid w:val="00231499"/>
    <w:rsid w:val="002339D0"/>
    <w:rsid w:val="00235FCF"/>
    <w:rsid w:val="00237B1D"/>
    <w:rsid w:val="00242E33"/>
    <w:rsid w:val="00243486"/>
    <w:rsid w:val="00245A94"/>
    <w:rsid w:val="002463E8"/>
    <w:rsid w:val="00256E36"/>
    <w:rsid w:val="00262DEA"/>
    <w:rsid w:val="002652D8"/>
    <w:rsid w:val="002729B6"/>
    <w:rsid w:val="00276AAA"/>
    <w:rsid w:val="002900ED"/>
    <w:rsid w:val="00295DC0"/>
    <w:rsid w:val="002A07E4"/>
    <w:rsid w:val="002A0AC0"/>
    <w:rsid w:val="002B086B"/>
    <w:rsid w:val="002B09AF"/>
    <w:rsid w:val="002B3E00"/>
    <w:rsid w:val="002B401A"/>
    <w:rsid w:val="002B613F"/>
    <w:rsid w:val="002B7391"/>
    <w:rsid w:val="002C2524"/>
    <w:rsid w:val="002C2BDF"/>
    <w:rsid w:val="002D1281"/>
    <w:rsid w:val="002D1936"/>
    <w:rsid w:val="002D35DE"/>
    <w:rsid w:val="002D5F65"/>
    <w:rsid w:val="002E44E9"/>
    <w:rsid w:val="002F117F"/>
    <w:rsid w:val="002F2E03"/>
    <w:rsid w:val="002F4146"/>
    <w:rsid w:val="002F794E"/>
    <w:rsid w:val="00322C1C"/>
    <w:rsid w:val="00323E97"/>
    <w:rsid w:val="00326F0B"/>
    <w:rsid w:val="00330FC3"/>
    <w:rsid w:val="00337818"/>
    <w:rsid w:val="00342FF3"/>
    <w:rsid w:val="003457C1"/>
    <w:rsid w:val="00352C14"/>
    <w:rsid w:val="003536E7"/>
    <w:rsid w:val="00355D37"/>
    <w:rsid w:val="003568EA"/>
    <w:rsid w:val="00357C4D"/>
    <w:rsid w:val="00362BF7"/>
    <w:rsid w:val="00363AE9"/>
    <w:rsid w:val="00363E8A"/>
    <w:rsid w:val="00381FDE"/>
    <w:rsid w:val="00382E96"/>
    <w:rsid w:val="0038389F"/>
    <w:rsid w:val="00384CD0"/>
    <w:rsid w:val="00390DC8"/>
    <w:rsid w:val="003A3751"/>
    <w:rsid w:val="003A4784"/>
    <w:rsid w:val="003A520A"/>
    <w:rsid w:val="003A6E46"/>
    <w:rsid w:val="003B075E"/>
    <w:rsid w:val="003B0D6A"/>
    <w:rsid w:val="003B1021"/>
    <w:rsid w:val="003B393D"/>
    <w:rsid w:val="003B7B21"/>
    <w:rsid w:val="003C00CE"/>
    <w:rsid w:val="003C5890"/>
    <w:rsid w:val="003C5E8F"/>
    <w:rsid w:val="003C658F"/>
    <w:rsid w:val="003C691B"/>
    <w:rsid w:val="003C7E4F"/>
    <w:rsid w:val="003D3834"/>
    <w:rsid w:val="003D4CEC"/>
    <w:rsid w:val="003E3470"/>
    <w:rsid w:val="003E3827"/>
    <w:rsid w:val="003E6999"/>
    <w:rsid w:val="003F4FC4"/>
    <w:rsid w:val="003F74E3"/>
    <w:rsid w:val="004031A9"/>
    <w:rsid w:val="00412C5E"/>
    <w:rsid w:val="00417712"/>
    <w:rsid w:val="00417C6D"/>
    <w:rsid w:val="00421585"/>
    <w:rsid w:val="00432F12"/>
    <w:rsid w:val="00434066"/>
    <w:rsid w:val="004408C3"/>
    <w:rsid w:val="00443600"/>
    <w:rsid w:val="00450D79"/>
    <w:rsid w:val="00457D19"/>
    <w:rsid w:val="00465481"/>
    <w:rsid w:val="00484BE3"/>
    <w:rsid w:val="0049424B"/>
    <w:rsid w:val="00494F25"/>
    <w:rsid w:val="004A1D80"/>
    <w:rsid w:val="004A3F2D"/>
    <w:rsid w:val="004B1BB0"/>
    <w:rsid w:val="004B5BB3"/>
    <w:rsid w:val="004B5EC8"/>
    <w:rsid w:val="004B72A1"/>
    <w:rsid w:val="004B7F9A"/>
    <w:rsid w:val="004C0664"/>
    <w:rsid w:val="004C458F"/>
    <w:rsid w:val="004C59DD"/>
    <w:rsid w:val="004C6D74"/>
    <w:rsid w:val="004D1F1E"/>
    <w:rsid w:val="004D3556"/>
    <w:rsid w:val="004D480A"/>
    <w:rsid w:val="004D5C08"/>
    <w:rsid w:val="004D7038"/>
    <w:rsid w:val="004D70EA"/>
    <w:rsid w:val="004E0524"/>
    <w:rsid w:val="004E08BC"/>
    <w:rsid w:val="004F6571"/>
    <w:rsid w:val="00501143"/>
    <w:rsid w:val="00504FB6"/>
    <w:rsid w:val="005111A0"/>
    <w:rsid w:val="0051357A"/>
    <w:rsid w:val="0052141B"/>
    <w:rsid w:val="0052397F"/>
    <w:rsid w:val="005248A3"/>
    <w:rsid w:val="005256F4"/>
    <w:rsid w:val="00527DEC"/>
    <w:rsid w:val="00536B62"/>
    <w:rsid w:val="00541074"/>
    <w:rsid w:val="00541816"/>
    <w:rsid w:val="005532BB"/>
    <w:rsid w:val="005610E7"/>
    <w:rsid w:val="0056193D"/>
    <w:rsid w:val="0058061B"/>
    <w:rsid w:val="005821C7"/>
    <w:rsid w:val="005846B2"/>
    <w:rsid w:val="00584DD0"/>
    <w:rsid w:val="00586FDC"/>
    <w:rsid w:val="00595183"/>
    <w:rsid w:val="00595340"/>
    <w:rsid w:val="005A2B64"/>
    <w:rsid w:val="005A4F38"/>
    <w:rsid w:val="005B41A1"/>
    <w:rsid w:val="005B7FB0"/>
    <w:rsid w:val="005C7947"/>
    <w:rsid w:val="005D7867"/>
    <w:rsid w:val="005F2953"/>
    <w:rsid w:val="005F4479"/>
    <w:rsid w:val="005F764A"/>
    <w:rsid w:val="00603286"/>
    <w:rsid w:val="00605737"/>
    <w:rsid w:val="006060CF"/>
    <w:rsid w:val="00607E1E"/>
    <w:rsid w:val="00614351"/>
    <w:rsid w:val="006233EE"/>
    <w:rsid w:val="00632F5B"/>
    <w:rsid w:val="006349EB"/>
    <w:rsid w:val="006352D8"/>
    <w:rsid w:val="0063566A"/>
    <w:rsid w:val="006378A3"/>
    <w:rsid w:val="00661116"/>
    <w:rsid w:val="00675548"/>
    <w:rsid w:val="0067629E"/>
    <w:rsid w:val="0068013A"/>
    <w:rsid w:val="00686C0F"/>
    <w:rsid w:val="00686F57"/>
    <w:rsid w:val="00693AF9"/>
    <w:rsid w:val="0069613C"/>
    <w:rsid w:val="006A319C"/>
    <w:rsid w:val="006A3932"/>
    <w:rsid w:val="006A5E64"/>
    <w:rsid w:val="006A7BB2"/>
    <w:rsid w:val="006B2F31"/>
    <w:rsid w:val="006C45D0"/>
    <w:rsid w:val="006C5036"/>
    <w:rsid w:val="006C5BA7"/>
    <w:rsid w:val="006D245A"/>
    <w:rsid w:val="006D2FC5"/>
    <w:rsid w:val="006D52CF"/>
    <w:rsid w:val="006E5897"/>
    <w:rsid w:val="006F2BBA"/>
    <w:rsid w:val="006F36BC"/>
    <w:rsid w:val="006F49DA"/>
    <w:rsid w:val="006F4B35"/>
    <w:rsid w:val="006F60AD"/>
    <w:rsid w:val="00704E88"/>
    <w:rsid w:val="00705A01"/>
    <w:rsid w:val="00707F4F"/>
    <w:rsid w:val="00711292"/>
    <w:rsid w:val="007123C2"/>
    <w:rsid w:val="00713579"/>
    <w:rsid w:val="00730004"/>
    <w:rsid w:val="00734F91"/>
    <w:rsid w:val="00744241"/>
    <w:rsid w:val="00752C2A"/>
    <w:rsid w:val="007545E9"/>
    <w:rsid w:val="00756566"/>
    <w:rsid w:val="00776D0B"/>
    <w:rsid w:val="00783838"/>
    <w:rsid w:val="00784BC2"/>
    <w:rsid w:val="00793626"/>
    <w:rsid w:val="007A1149"/>
    <w:rsid w:val="007A1A88"/>
    <w:rsid w:val="007A4902"/>
    <w:rsid w:val="007A7912"/>
    <w:rsid w:val="007B0B06"/>
    <w:rsid w:val="007B12ED"/>
    <w:rsid w:val="007B1C8A"/>
    <w:rsid w:val="007B3B66"/>
    <w:rsid w:val="007B3D2E"/>
    <w:rsid w:val="007B47E3"/>
    <w:rsid w:val="007C10F9"/>
    <w:rsid w:val="007C7888"/>
    <w:rsid w:val="007E0DF0"/>
    <w:rsid w:val="007E2A99"/>
    <w:rsid w:val="007E33F0"/>
    <w:rsid w:val="007E4EA3"/>
    <w:rsid w:val="007F7A69"/>
    <w:rsid w:val="007F7FA7"/>
    <w:rsid w:val="008005D1"/>
    <w:rsid w:val="00806E2A"/>
    <w:rsid w:val="008074B2"/>
    <w:rsid w:val="008115E9"/>
    <w:rsid w:val="00822412"/>
    <w:rsid w:val="00824212"/>
    <w:rsid w:val="008254F9"/>
    <w:rsid w:val="008331EB"/>
    <w:rsid w:val="008351A1"/>
    <w:rsid w:val="00835FE5"/>
    <w:rsid w:val="0086114C"/>
    <w:rsid w:val="00872770"/>
    <w:rsid w:val="00875BB8"/>
    <w:rsid w:val="00882607"/>
    <w:rsid w:val="00886D90"/>
    <w:rsid w:val="0089058E"/>
    <w:rsid w:val="00893C86"/>
    <w:rsid w:val="0089448C"/>
    <w:rsid w:val="0089602A"/>
    <w:rsid w:val="00897403"/>
    <w:rsid w:val="0089755A"/>
    <w:rsid w:val="008A3243"/>
    <w:rsid w:val="008A3F47"/>
    <w:rsid w:val="008B08BA"/>
    <w:rsid w:val="008B0C9B"/>
    <w:rsid w:val="008B1A73"/>
    <w:rsid w:val="008B3A1D"/>
    <w:rsid w:val="008C1F12"/>
    <w:rsid w:val="008C6BD9"/>
    <w:rsid w:val="008C719B"/>
    <w:rsid w:val="008D04EB"/>
    <w:rsid w:val="008D618A"/>
    <w:rsid w:val="008E04A2"/>
    <w:rsid w:val="008E41E9"/>
    <w:rsid w:val="008E5899"/>
    <w:rsid w:val="008E6372"/>
    <w:rsid w:val="008F1764"/>
    <w:rsid w:val="008F27CA"/>
    <w:rsid w:val="008F29C5"/>
    <w:rsid w:val="0090060C"/>
    <w:rsid w:val="00903E8B"/>
    <w:rsid w:val="0090794D"/>
    <w:rsid w:val="00912156"/>
    <w:rsid w:val="009123FD"/>
    <w:rsid w:val="0091246A"/>
    <w:rsid w:val="00917123"/>
    <w:rsid w:val="00927424"/>
    <w:rsid w:val="00931AF1"/>
    <w:rsid w:val="00953EFB"/>
    <w:rsid w:val="00954766"/>
    <w:rsid w:val="00955A3F"/>
    <w:rsid w:val="00963DBA"/>
    <w:rsid w:val="0096516D"/>
    <w:rsid w:val="00967342"/>
    <w:rsid w:val="00970462"/>
    <w:rsid w:val="00972766"/>
    <w:rsid w:val="00973190"/>
    <w:rsid w:val="00976530"/>
    <w:rsid w:val="00976F78"/>
    <w:rsid w:val="009824AC"/>
    <w:rsid w:val="00990181"/>
    <w:rsid w:val="00990405"/>
    <w:rsid w:val="00991CD8"/>
    <w:rsid w:val="00993794"/>
    <w:rsid w:val="009964FC"/>
    <w:rsid w:val="009A6619"/>
    <w:rsid w:val="009C0614"/>
    <w:rsid w:val="009C1B42"/>
    <w:rsid w:val="009D390A"/>
    <w:rsid w:val="009D4500"/>
    <w:rsid w:val="009F2F31"/>
    <w:rsid w:val="009F3F7D"/>
    <w:rsid w:val="00A01E04"/>
    <w:rsid w:val="00A02E4A"/>
    <w:rsid w:val="00A03272"/>
    <w:rsid w:val="00A06F26"/>
    <w:rsid w:val="00A1430F"/>
    <w:rsid w:val="00A164EF"/>
    <w:rsid w:val="00A17EBF"/>
    <w:rsid w:val="00A21D32"/>
    <w:rsid w:val="00A27035"/>
    <w:rsid w:val="00A36528"/>
    <w:rsid w:val="00A42393"/>
    <w:rsid w:val="00A440EF"/>
    <w:rsid w:val="00A52BB6"/>
    <w:rsid w:val="00A54482"/>
    <w:rsid w:val="00A54EFA"/>
    <w:rsid w:val="00A55A2D"/>
    <w:rsid w:val="00A56E4F"/>
    <w:rsid w:val="00A5740B"/>
    <w:rsid w:val="00A65347"/>
    <w:rsid w:val="00A837BE"/>
    <w:rsid w:val="00A8406F"/>
    <w:rsid w:val="00A90B7B"/>
    <w:rsid w:val="00A90D68"/>
    <w:rsid w:val="00A91C60"/>
    <w:rsid w:val="00A94DA6"/>
    <w:rsid w:val="00A95CB6"/>
    <w:rsid w:val="00AA3384"/>
    <w:rsid w:val="00AA600F"/>
    <w:rsid w:val="00AB1837"/>
    <w:rsid w:val="00AB4A77"/>
    <w:rsid w:val="00AB57D6"/>
    <w:rsid w:val="00AC363D"/>
    <w:rsid w:val="00AC5348"/>
    <w:rsid w:val="00AC68A6"/>
    <w:rsid w:val="00AD31B0"/>
    <w:rsid w:val="00AD448F"/>
    <w:rsid w:val="00AE194F"/>
    <w:rsid w:val="00AF1DBB"/>
    <w:rsid w:val="00B07B59"/>
    <w:rsid w:val="00B101C4"/>
    <w:rsid w:val="00B10517"/>
    <w:rsid w:val="00B31C5C"/>
    <w:rsid w:val="00B427CE"/>
    <w:rsid w:val="00B5505D"/>
    <w:rsid w:val="00B65007"/>
    <w:rsid w:val="00B71278"/>
    <w:rsid w:val="00B71BB6"/>
    <w:rsid w:val="00B75EB3"/>
    <w:rsid w:val="00B83348"/>
    <w:rsid w:val="00BA23FD"/>
    <w:rsid w:val="00BA62F3"/>
    <w:rsid w:val="00BB585E"/>
    <w:rsid w:val="00BC0AD7"/>
    <w:rsid w:val="00BC148F"/>
    <w:rsid w:val="00BC3A1B"/>
    <w:rsid w:val="00BD315A"/>
    <w:rsid w:val="00BD42D1"/>
    <w:rsid w:val="00BD74A4"/>
    <w:rsid w:val="00BD7D10"/>
    <w:rsid w:val="00BE262D"/>
    <w:rsid w:val="00BE2DBA"/>
    <w:rsid w:val="00BE5257"/>
    <w:rsid w:val="00BF1D78"/>
    <w:rsid w:val="00BF3108"/>
    <w:rsid w:val="00C17E97"/>
    <w:rsid w:val="00C2129B"/>
    <w:rsid w:val="00C23214"/>
    <w:rsid w:val="00C272C6"/>
    <w:rsid w:val="00C3079E"/>
    <w:rsid w:val="00C37877"/>
    <w:rsid w:val="00C4040C"/>
    <w:rsid w:val="00C40F6B"/>
    <w:rsid w:val="00C461B7"/>
    <w:rsid w:val="00C54357"/>
    <w:rsid w:val="00C57552"/>
    <w:rsid w:val="00C6783B"/>
    <w:rsid w:val="00C74CD3"/>
    <w:rsid w:val="00C819E3"/>
    <w:rsid w:val="00C81B07"/>
    <w:rsid w:val="00C83428"/>
    <w:rsid w:val="00C84B42"/>
    <w:rsid w:val="00C910F2"/>
    <w:rsid w:val="00C9237E"/>
    <w:rsid w:val="00C94069"/>
    <w:rsid w:val="00CA390E"/>
    <w:rsid w:val="00CA41E4"/>
    <w:rsid w:val="00CA5DF5"/>
    <w:rsid w:val="00CA6714"/>
    <w:rsid w:val="00CB68A4"/>
    <w:rsid w:val="00CC0EE1"/>
    <w:rsid w:val="00CC1C5D"/>
    <w:rsid w:val="00CC41FB"/>
    <w:rsid w:val="00CC7BAD"/>
    <w:rsid w:val="00CD5529"/>
    <w:rsid w:val="00CD5E96"/>
    <w:rsid w:val="00CD7262"/>
    <w:rsid w:val="00CE43E3"/>
    <w:rsid w:val="00CF1246"/>
    <w:rsid w:val="00CF321A"/>
    <w:rsid w:val="00CF407F"/>
    <w:rsid w:val="00CF691B"/>
    <w:rsid w:val="00D00B1C"/>
    <w:rsid w:val="00D01676"/>
    <w:rsid w:val="00D0689E"/>
    <w:rsid w:val="00D11A5E"/>
    <w:rsid w:val="00D12E54"/>
    <w:rsid w:val="00D3046A"/>
    <w:rsid w:val="00D310C7"/>
    <w:rsid w:val="00D459E2"/>
    <w:rsid w:val="00D50528"/>
    <w:rsid w:val="00D612A9"/>
    <w:rsid w:val="00D6446D"/>
    <w:rsid w:val="00D649B3"/>
    <w:rsid w:val="00D66CB5"/>
    <w:rsid w:val="00D80709"/>
    <w:rsid w:val="00DA1A3B"/>
    <w:rsid w:val="00DA43C2"/>
    <w:rsid w:val="00DB13D8"/>
    <w:rsid w:val="00DD637A"/>
    <w:rsid w:val="00DE4112"/>
    <w:rsid w:val="00DE41F3"/>
    <w:rsid w:val="00DE6B6D"/>
    <w:rsid w:val="00DF1978"/>
    <w:rsid w:val="00DF60AA"/>
    <w:rsid w:val="00DF759B"/>
    <w:rsid w:val="00DF7FE3"/>
    <w:rsid w:val="00E26C61"/>
    <w:rsid w:val="00E3632F"/>
    <w:rsid w:val="00E403DD"/>
    <w:rsid w:val="00E440CC"/>
    <w:rsid w:val="00E54A27"/>
    <w:rsid w:val="00E5520F"/>
    <w:rsid w:val="00E6139D"/>
    <w:rsid w:val="00E65F5B"/>
    <w:rsid w:val="00E669A7"/>
    <w:rsid w:val="00E7007E"/>
    <w:rsid w:val="00E727F0"/>
    <w:rsid w:val="00E728C6"/>
    <w:rsid w:val="00E75D77"/>
    <w:rsid w:val="00E82F40"/>
    <w:rsid w:val="00E83DBE"/>
    <w:rsid w:val="00E90239"/>
    <w:rsid w:val="00E94DFD"/>
    <w:rsid w:val="00E97FA7"/>
    <w:rsid w:val="00EA424F"/>
    <w:rsid w:val="00EA775F"/>
    <w:rsid w:val="00EB782E"/>
    <w:rsid w:val="00EC162B"/>
    <w:rsid w:val="00ED7109"/>
    <w:rsid w:val="00EE24AF"/>
    <w:rsid w:val="00EE399A"/>
    <w:rsid w:val="00EE5670"/>
    <w:rsid w:val="00EF2A5B"/>
    <w:rsid w:val="00EF5AD4"/>
    <w:rsid w:val="00EF7187"/>
    <w:rsid w:val="00EF7E5A"/>
    <w:rsid w:val="00F00B53"/>
    <w:rsid w:val="00F00E7D"/>
    <w:rsid w:val="00F05F95"/>
    <w:rsid w:val="00F101C5"/>
    <w:rsid w:val="00F23E0F"/>
    <w:rsid w:val="00F24B46"/>
    <w:rsid w:val="00F269F5"/>
    <w:rsid w:val="00F3000C"/>
    <w:rsid w:val="00F41A48"/>
    <w:rsid w:val="00F45D6A"/>
    <w:rsid w:val="00F46BD2"/>
    <w:rsid w:val="00F5133B"/>
    <w:rsid w:val="00F52C8E"/>
    <w:rsid w:val="00F543DE"/>
    <w:rsid w:val="00F60510"/>
    <w:rsid w:val="00F6056A"/>
    <w:rsid w:val="00F66019"/>
    <w:rsid w:val="00F70190"/>
    <w:rsid w:val="00F70487"/>
    <w:rsid w:val="00F70FB3"/>
    <w:rsid w:val="00F85ED3"/>
    <w:rsid w:val="00F879AD"/>
    <w:rsid w:val="00F90097"/>
    <w:rsid w:val="00F94A93"/>
    <w:rsid w:val="00F9607C"/>
    <w:rsid w:val="00FA362F"/>
    <w:rsid w:val="00FB1502"/>
    <w:rsid w:val="00FB6AF6"/>
    <w:rsid w:val="00FB768B"/>
    <w:rsid w:val="00FC3305"/>
    <w:rsid w:val="00FC4E47"/>
    <w:rsid w:val="00FC60D1"/>
    <w:rsid w:val="00FD0F82"/>
    <w:rsid w:val="00FD2E71"/>
    <w:rsid w:val="00FE4C44"/>
    <w:rsid w:val="00FE5316"/>
    <w:rsid w:val="00FF18A4"/>
    <w:rsid w:val="00FF22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CFA749-14C1-4039-9954-3B4DCE78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3EE"/>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styleId="Heading1">
    <w:name w:val="heading 1"/>
    <w:aliases w:val="Regnskaber,Heading"/>
    <w:basedOn w:val="Normal"/>
    <w:next w:val="Normal"/>
    <w:link w:val="Heading1Char"/>
    <w:qFormat/>
    <w:rsid w:val="00BC0AD7"/>
    <w:pPr>
      <w:keepNext/>
      <w:spacing w:after="340"/>
      <w:jc w:val="left"/>
      <w:outlineLvl w:val="0"/>
    </w:pPr>
    <w:rPr>
      <w:b/>
      <w:sz w:val="30"/>
    </w:rPr>
  </w:style>
  <w:style w:type="paragraph" w:styleId="Heading2">
    <w:name w:val="heading 2"/>
    <w:basedOn w:val="Normal"/>
    <w:next w:val="Normal"/>
    <w:link w:val="Heading2Char"/>
    <w:qFormat/>
    <w:rsid w:val="00BC0AD7"/>
    <w:pPr>
      <w:keepNext/>
      <w:jc w:val="left"/>
      <w:outlineLvl w:val="1"/>
    </w:pPr>
    <w:rPr>
      <w:b/>
      <w:sz w:val="26"/>
    </w:rPr>
  </w:style>
  <w:style w:type="paragraph" w:styleId="Heading3">
    <w:name w:val="heading 3"/>
    <w:basedOn w:val="Heading2"/>
    <w:next w:val="Normal"/>
    <w:link w:val="Heading3Char"/>
    <w:qFormat/>
    <w:rsid w:val="00BC0AD7"/>
    <w:pPr>
      <w:outlineLvl w:val="2"/>
    </w:pPr>
    <w:rPr>
      <w:sz w:val="22"/>
    </w:rPr>
  </w:style>
  <w:style w:type="paragraph" w:styleId="Heading4">
    <w:name w:val="heading 4"/>
    <w:basedOn w:val="Heading3"/>
    <w:next w:val="Normal"/>
    <w:link w:val="Heading4Char"/>
    <w:qFormat/>
    <w:rsid w:val="00BC0AD7"/>
    <w:pPr>
      <w:outlineLvl w:val="3"/>
    </w:pPr>
    <w:rPr>
      <w:bCs/>
      <w:i/>
      <w:szCs w:val="28"/>
    </w:rPr>
  </w:style>
  <w:style w:type="paragraph" w:styleId="Heading5">
    <w:name w:val="heading 5"/>
    <w:basedOn w:val="Normal"/>
    <w:next w:val="Normal"/>
    <w:link w:val="Heading5Char"/>
    <w:qFormat/>
    <w:rsid w:val="00BC0AD7"/>
    <w:pPr>
      <w:keepNext/>
      <w:spacing w:line="240" w:lineRule="atLeast"/>
      <w:outlineLvl w:val="4"/>
    </w:pPr>
  </w:style>
  <w:style w:type="paragraph" w:styleId="Heading6">
    <w:name w:val="heading 6"/>
    <w:basedOn w:val="Normal"/>
    <w:next w:val="Normal"/>
    <w:link w:val="Heading6Char"/>
    <w:qFormat/>
    <w:rsid w:val="00BC0AD7"/>
    <w:pPr>
      <w:keepNext/>
      <w:outlineLvl w:val="5"/>
    </w:pPr>
    <w:rPr>
      <w:bCs/>
    </w:rPr>
  </w:style>
  <w:style w:type="paragraph" w:styleId="Heading7">
    <w:name w:val="heading 7"/>
    <w:basedOn w:val="Normal"/>
    <w:next w:val="Normal"/>
    <w:link w:val="Heading7Char"/>
    <w:qFormat/>
    <w:rsid w:val="00BC0AD7"/>
    <w:pPr>
      <w:keepNext/>
      <w:outlineLvl w:val="6"/>
    </w:pPr>
    <w:rPr>
      <w:b/>
      <w:bCs/>
      <w:sz w:val="30"/>
    </w:rPr>
  </w:style>
  <w:style w:type="paragraph" w:styleId="Heading8">
    <w:name w:val="heading 8"/>
    <w:basedOn w:val="Normal"/>
    <w:next w:val="Normal"/>
    <w:link w:val="Heading8Char"/>
    <w:qFormat/>
    <w:rsid w:val="00BC0AD7"/>
    <w:pPr>
      <w:tabs>
        <w:tab w:val="num" w:pos="5400"/>
      </w:tabs>
      <w:spacing w:before="240" w:after="60"/>
      <w:ind w:left="5040"/>
      <w:jc w:val="left"/>
      <w:outlineLvl w:val="7"/>
    </w:pPr>
    <w:rPr>
      <w:i/>
      <w:iCs/>
      <w:sz w:val="24"/>
      <w:szCs w:val="24"/>
      <w:lang w:val="en-GB"/>
    </w:rPr>
  </w:style>
  <w:style w:type="paragraph" w:styleId="Heading9">
    <w:name w:val="heading 9"/>
    <w:basedOn w:val="Normal"/>
    <w:next w:val="Normal"/>
    <w:link w:val="Heading9Char"/>
    <w:qFormat/>
    <w:rsid w:val="00BC0AD7"/>
    <w:pPr>
      <w:tabs>
        <w:tab w:val="num" w:pos="6120"/>
      </w:tabs>
      <w:spacing w:before="240" w:after="60"/>
      <w:ind w:left="5760"/>
      <w:jc w:val="left"/>
      <w:outlineLvl w:val="8"/>
    </w:pPr>
    <w:rPr>
      <w:rFonts w:ascii="Arial" w:hAnsi="Arial"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gnskaber Char,Heading Char"/>
    <w:basedOn w:val="DefaultParagraphFont"/>
    <w:link w:val="Heading1"/>
    <w:rsid w:val="00BC0AD7"/>
    <w:rPr>
      <w:rFonts w:ascii="Times New Roman" w:eastAsia="Times New Roman" w:hAnsi="Times New Roman" w:cs="Times New Roman"/>
      <w:b/>
      <w:sz w:val="30"/>
      <w:szCs w:val="20"/>
    </w:rPr>
  </w:style>
  <w:style w:type="character" w:customStyle="1" w:styleId="Heading2Char">
    <w:name w:val="Heading 2 Char"/>
    <w:basedOn w:val="DefaultParagraphFont"/>
    <w:link w:val="Heading2"/>
    <w:rsid w:val="00BC0AD7"/>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BC0AD7"/>
    <w:rPr>
      <w:rFonts w:ascii="Times New Roman" w:eastAsia="Times New Roman" w:hAnsi="Times New Roman" w:cs="Times New Roman"/>
      <w:b/>
      <w:szCs w:val="20"/>
    </w:rPr>
  </w:style>
  <w:style w:type="character" w:customStyle="1" w:styleId="Heading4Char">
    <w:name w:val="Heading 4 Char"/>
    <w:basedOn w:val="DefaultParagraphFont"/>
    <w:link w:val="Heading4"/>
    <w:rsid w:val="00BC0AD7"/>
    <w:rPr>
      <w:rFonts w:ascii="Times New Roman" w:eastAsia="Times New Roman" w:hAnsi="Times New Roman" w:cs="Times New Roman"/>
      <w:b/>
      <w:bCs/>
      <w:i/>
      <w:szCs w:val="28"/>
    </w:rPr>
  </w:style>
  <w:style w:type="character" w:customStyle="1" w:styleId="Heading5Char">
    <w:name w:val="Heading 5 Char"/>
    <w:basedOn w:val="DefaultParagraphFont"/>
    <w:link w:val="Heading5"/>
    <w:rsid w:val="00BC0AD7"/>
    <w:rPr>
      <w:rFonts w:ascii="Times New Roman" w:eastAsia="Times New Roman" w:hAnsi="Times New Roman" w:cs="Times New Roman"/>
      <w:szCs w:val="20"/>
    </w:rPr>
  </w:style>
  <w:style w:type="character" w:customStyle="1" w:styleId="Heading6Char">
    <w:name w:val="Heading 6 Char"/>
    <w:basedOn w:val="DefaultParagraphFont"/>
    <w:link w:val="Heading6"/>
    <w:rsid w:val="00BC0AD7"/>
    <w:rPr>
      <w:rFonts w:ascii="Times New Roman" w:eastAsia="Times New Roman" w:hAnsi="Times New Roman" w:cs="Times New Roman"/>
      <w:bCs/>
      <w:szCs w:val="20"/>
    </w:rPr>
  </w:style>
  <w:style w:type="character" w:customStyle="1" w:styleId="Heading7Char">
    <w:name w:val="Heading 7 Char"/>
    <w:basedOn w:val="DefaultParagraphFont"/>
    <w:link w:val="Heading7"/>
    <w:rsid w:val="00BC0AD7"/>
    <w:rPr>
      <w:rFonts w:ascii="Times New Roman" w:eastAsia="Times New Roman" w:hAnsi="Times New Roman" w:cs="Times New Roman"/>
      <w:b/>
      <w:bCs/>
      <w:sz w:val="30"/>
      <w:szCs w:val="20"/>
    </w:rPr>
  </w:style>
  <w:style w:type="character" w:customStyle="1" w:styleId="Heading8Char">
    <w:name w:val="Heading 8 Char"/>
    <w:basedOn w:val="DefaultParagraphFont"/>
    <w:link w:val="Heading8"/>
    <w:rsid w:val="00BC0AD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C0AD7"/>
    <w:rPr>
      <w:rFonts w:ascii="Arial" w:eastAsia="Times New Roman" w:hAnsi="Arial" w:cs="Arial"/>
      <w:lang w:val="en-GB"/>
    </w:rPr>
  </w:style>
  <w:style w:type="paragraph" w:customStyle="1" w:styleId="AdresseBrev">
    <w:name w:val="AdresseBrev"/>
    <w:basedOn w:val="Normal"/>
    <w:rsid w:val="00BC0AD7"/>
    <w:pPr>
      <w:tabs>
        <w:tab w:val="decimal" w:pos="8618"/>
      </w:tabs>
      <w:spacing w:line="240" w:lineRule="atLeast"/>
      <w:ind w:right="4536"/>
      <w:jc w:val="left"/>
    </w:pPr>
  </w:style>
  <w:style w:type="paragraph" w:styleId="NormalIndent">
    <w:name w:val="Normal Indent"/>
    <w:basedOn w:val="Normal"/>
    <w:semiHidden/>
    <w:unhideWhenUsed/>
    <w:rsid w:val="00BC0AD7"/>
    <w:pPr>
      <w:ind w:left="720"/>
    </w:pPr>
  </w:style>
  <w:style w:type="paragraph" w:customStyle="1" w:styleId="Brevhoved">
    <w:name w:val="Brevhoved"/>
    <w:basedOn w:val="Normal"/>
    <w:rsid w:val="00BC0AD7"/>
    <w:pPr>
      <w:spacing w:line="240" w:lineRule="atLeast"/>
      <w:ind w:right="4536"/>
      <w:jc w:val="left"/>
    </w:pPr>
  </w:style>
  <w:style w:type="paragraph" w:customStyle="1" w:styleId="BrevhovedSidsteLinie">
    <w:name w:val="BrevhovedSidsteLinie"/>
    <w:basedOn w:val="Brevhoved"/>
    <w:next w:val="Heading1"/>
    <w:rsid w:val="00BC0AD7"/>
    <w:pPr>
      <w:spacing w:after="600"/>
    </w:pPr>
  </w:style>
  <w:style w:type="paragraph" w:customStyle="1" w:styleId="Bullet0">
    <w:name w:val="Bullet"/>
    <w:basedOn w:val="Normal"/>
    <w:rsid w:val="00BC0AD7"/>
  </w:style>
  <w:style w:type="paragraph" w:customStyle="1" w:styleId="bullet">
    <w:name w:val="bullet"/>
    <w:basedOn w:val="Normal"/>
    <w:rsid w:val="00BC0AD7"/>
    <w:pPr>
      <w:numPr>
        <w:numId w:val="1"/>
      </w:numPr>
    </w:pPr>
    <w:rPr>
      <w:lang w:val="en-GB"/>
    </w:rPr>
  </w:style>
  <w:style w:type="paragraph" w:customStyle="1" w:styleId="cc">
    <w:name w:val="cc"/>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cc1">
    <w:name w:val="cc1"/>
    <w:rsid w:val="00BC0AD7"/>
    <w:pPr>
      <w:tabs>
        <w:tab w:val="left" w:pos="0"/>
        <w:tab w:val="left" w:pos="567"/>
        <w:tab w:val="decimal" w:pos="8618"/>
      </w:tabs>
      <w:spacing w:after="0" w:line="340" w:lineRule="atLeast"/>
      <w:jc w:val="both"/>
    </w:pPr>
    <w:rPr>
      <w:rFonts w:ascii="Times New Roman" w:eastAsia="Times New Roman" w:hAnsi="Times New Roman" w:cs="Times New Roman"/>
      <w:szCs w:val="20"/>
    </w:rPr>
  </w:style>
  <w:style w:type="paragraph" w:customStyle="1" w:styleId="DatolinieBrev">
    <w:name w:val="DatolinieBrev"/>
    <w:basedOn w:val="Normal"/>
    <w:rsid w:val="00BC0AD7"/>
    <w:pPr>
      <w:spacing w:after="600" w:line="240" w:lineRule="atLeast"/>
    </w:pPr>
  </w:style>
  <w:style w:type="paragraph" w:customStyle="1" w:styleId="Figur1">
    <w:name w:val="Figur1"/>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igur2">
    <w:name w:val="Figur2"/>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character" w:styleId="FollowedHyperlink">
    <w:name w:val="FollowedHyperlink"/>
    <w:basedOn w:val="DefaultParagraphFont"/>
    <w:rsid w:val="00BC0AD7"/>
    <w:rPr>
      <w:color w:val="800080"/>
      <w:u w:val="single"/>
    </w:rPr>
  </w:style>
  <w:style w:type="paragraph" w:styleId="Footer">
    <w:name w:val="footer"/>
    <w:basedOn w:val="Normal"/>
    <w:link w:val="FooterChar"/>
    <w:uiPriority w:val="99"/>
    <w:rsid w:val="00BC0AD7"/>
    <w:pPr>
      <w:tabs>
        <w:tab w:val="center" w:pos="4153"/>
        <w:tab w:val="right" w:pos="8306"/>
      </w:tabs>
    </w:pPr>
  </w:style>
  <w:style w:type="character" w:customStyle="1" w:styleId="FooterChar">
    <w:name w:val="Footer Char"/>
    <w:basedOn w:val="DefaultParagraphFont"/>
    <w:link w:val="Footer"/>
    <w:uiPriority w:val="99"/>
    <w:rsid w:val="00BC0AD7"/>
    <w:rPr>
      <w:rFonts w:ascii="Times New Roman" w:eastAsia="Times New Roman" w:hAnsi="Times New Roman" w:cs="Times New Roman"/>
      <w:szCs w:val="20"/>
    </w:rPr>
  </w:style>
  <w:style w:type="character" w:styleId="FootnoteReference">
    <w:name w:val="footnote reference"/>
    <w:basedOn w:val="DefaultParagraphFont"/>
    <w:semiHidden/>
    <w:rsid w:val="00BC0AD7"/>
    <w:rPr>
      <w:vertAlign w:val="superscript"/>
    </w:rPr>
  </w:style>
  <w:style w:type="paragraph" w:styleId="FootnoteText">
    <w:name w:val="footnote text"/>
    <w:basedOn w:val="Normal"/>
    <w:link w:val="FootnoteTextChar"/>
    <w:semiHidden/>
    <w:rsid w:val="00BC0AD7"/>
    <w:rPr>
      <w:sz w:val="20"/>
    </w:rPr>
  </w:style>
  <w:style w:type="character" w:customStyle="1" w:styleId="FootnoteTextChar">
    <w:name w:val="Footnote Text Char"/>
    <w:basedOn w:val="DefaultParagraphFont"/>
    <w:link w:val="FootnoteText"/>
    <w:semiHidden/>
    <w:rsid w:val="00BC0AD7"/>
    <w:rPr>
      <w:rFonts w:ascii="Times New Roman" w:eastAsia="Times New Roman" w:hAnsi="Times New Roman" w:cs="Times New Roman"/>
      <w:sz w:val="20"/>
      <w:szCs w:val="20"/>
    </w:rPr>
  </w:style>
  <w:style w:type="paragraph" w:customStyle="1" w:styleId="ForsideIndhold">
    <w:name w:val="ForsideIndhold"/>
    <w:basedOn w:val="Heading1"/>
    <w:rsid w:val="00BC0AD7"/>
    <w:pPr>
      <w:tabs>
        <w:tab w:val="clear" w:pos="8902"/>
        <w:tab w:val="decimal" w:pos="9639"/>
      </w:tabs>
      <w:spacing w:after="0"/>
      <w:ind w:left="567" w:right="567"/>
      <w:outlineLvl w:val="9"/>
    </w:pPr>
  </w:style>
  <w:style w:type="paragraph" w:customStyle="1" w:styleId="ForsideTop">
    <w:name w:val="ForsideTop"/>
    <w:basedOn w:val="Normal"/>
    <w:next w:val="Normal"/>
    <w:rsid w:val="00BC0AD7"/>
    <w:pPr>
      <w:tabs>
        <w:tab w:val="decimal" w:pos="9639"/>
      </w:tabs>
      <w:spacing w:line="240" w:lineRule="atLeast"/>
    </w:pPr>
    <w:rPr>
      <w:lang w:val="en-GB"/>
    </w:rPr>
  </w:style>
  <w:style w:type="paragraph" w:customStyle="1" w:styleId="FortryktTekster">
    <w:name w:val="FortryktTekster"/>
    <w:rsid w:val="00BC0AD7"/>
    <w:pPr>
      <w:tabs>
        <w:tab w:val="right" w:pos="8789"/>
      </w:tabs>
      <w:spacing w:after="0" w:line="240" w:lineRule="auto"/>
    </w:pPr>
    <w:rPr>
      <w:rFonts w:ascii="Arial" w:eastAsia="Times New Roman" w:hAnsi="Arial" w:cs="Times New Roman"/>
      <w:position w:val="-2"/>
      <w:sz w:val="18"/>
      <w:szCs w:val="20"/>
    </w:rPr>
  </w:style>
  <w:style w:type="paragraph" w:customStyle="1" w:styleId="Graf1">
    <w:name w:val="Graf1"/>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2">
    <w:name w:val="Graf2"/>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3">
    <w:name w:val="graf3"/>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4">
    <w:name w:val="graf4"/>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5">
    <w:name w:val="Graf5"/>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6">
    <w:name w:val="Graf6"/>
    <w:rsid w:val="00BC0AD7"/>
    <w:pPr>
      <w:spacing w:after="0" w:line="240" w:lineRule="auto"/>
    </w:pPr>
    <w:rPr>
      <w:rFonts w:ascii="Times New Roman" w:eastAsia="Times New Roman" w:hAnsi="Times New Roman" w:cs="Times New Roman"/>
      <w:noProof/>
      <w:sz w:val="3276"/>
      <w:szCs w:val="20"/>
      <w:lang w:val="en-GB"/>
    </w:rPr>
  </w:style>
  <w:style w:type="paragraph" w:customStyle="1" w:styleId="Graf7">
    <w:name w:val="Graf7"/>
    <w:rsid w:val="00BC0AD7"/>
    <w:pPr>
      <w:spacing w:after="0" w:line="240" w:lineRule="auto"/>
    </w:pPr>
    <w:rPr>
      <w:rFonts w:ascii="Times New Roman" w:eastAsia="Times New Roman" w:hAnsi="Times New Roman" w:cs="Times New Roman"/>
      <w:noProof/>
      <w:sz w:val="3276"/>
      <w:szCs w:val="20"/>
      <w:lang w:val="en-GB"/>
    </w:rPr>
  </w:style>
  <w:style w:type="paragraph" w:customStyle="1" w:styleId="Graf8">
    <w:name w:val="Graf8"/>
    <w:rsid w:val="00BC0AD7"/>
    <w:pPr>
      <w:spacing w:after="0" w:line="240" w:lineRule="auto"/>
    </w:pPr>
    <w:rPr>
      <w:rFonts w:ascii="Times New Roman" w:eastAsia="Times New Roman" w:hAnsi="Times New Roman" w:cs="Times New Roman"/>
      <w:noProof/>
      <w:sz w:val="3276"/>
      <w:szCs w:val="20"/>
      <w:lang w:val="en-GB"/>
    </w:rPr>
  </w:style>
  <w:style w:type="paragraph" w:customStyle="1" w:styleId="GraferHovedOgNogletal">
    <w:name w:val="GraferHovedOgNogletal"/>
    <w:rsid w:val="00BC0AD7"/>
    <w:pPr>
      <w:tabs>
        <w:tab w:val="left" w:pos="0"/>
        <w:tab w:val="left" w:pos="567"/>
        <w:tab w:val="decimal" w:pos="8618"/>
      </w:tabs>
      <w:spacing w:after="0" w:line="340" w:lineRule="atLeast"/>
      <w:jc w:val="both"/>
    </w:pPr>
    <w:rPr>
      <w:rFonts w:ascii="Times New Roman" w:eastAsia="Times New Roman" w:hAnsi="Times New Roman" w:cs="Times New Roman"/>
      <w:szCs w:val="20"/>
    </w:rPr>
  </w:style>
  <w:style w:type="paragraph" w:customStyle="1" w:styleId="grafToSojler">
    <w:name w:val="grafToSojler"/>
    <w:rsid w:val="00BC0AD7"/>
    <w:pPr>
      <w:tabs>
        <w:tab w:val="left" w:pos="0"/>
        <w:tab w:val="left" w:pos="567"/>
        <w:tab w:val="decimal" w:pos="8618"/>
      </w:tabs>
      <w:spacing w:after="0" w:line="340" w:lineRule="atLeast"/>
      <w:jc w:val="both"/>
    </w:pPr>
    <w:rPr>
      <w:rFonts w:ascii="Times New Roman" w:eastAsia="Times New Roman" w:hAnsi="Times New Roman" w:cs="Times New Roman"/>
      <w:szCs w:val="20"/>
    </w:rPr>
  </w:style>
  <w:style w:type="paragraph" w:styleId="Header">
    <w:name w:val="header"/>
    <w:basedOn w:val="Normal"/>
    <w:link w:val="HeaderChar"/>
    <w:uiPriority w:val="99"/>
    <w:rsid w:val="00BC0AD7"/>
    <w:pPr>
      <w:tabs>
        <w:tab w:val="right" w:pos="9072"/>
      </w:tabs>
      <w:spacing w:line="240" w:lineRule="exact"/>
      <w:jc w:val="left"/>
    </w:pPr>
    <w:rPr>
      <w:rFonts w:ascii="Arial" w:hAnsi="Arial"/>
      <w:sz w:val="20"/>
    </w:rPr>
  </w:style>
  <w:style w:type="character" w:customStyle="1" w:styleId="HeaderChar">
    <w:name w:val="Header Char"/>
    <w:basedOn w:val="DefaultParagraphFont"/>
    <w:link w:val="Header"/>
    <w:uiPriority w:val="99"/>
    <w:rsid w:val="00BC0AD7"/>
    <w:rPr>
      <w:rFonts w:ascii="Arial" w:eastAsia="Times New Roman" w:hAnsi="Arial" w:cs="Times New Roman"/>
      <w:sz w:val="20"/>
      <w:szCs w:val="20"/>
    </w:rPr>
  </w:style>
  <w:style w:type="paragraph" w:customStyle="1" w:styleId="Header1">
    <w:name w:val="Header1"/>
    <w:basedOn w:val="Header"/>
    <w:rsid w:val="00BC0AD7"/>
    <w:pPr>
      <w:pBdr>
        <w:bottom w:val="single" w:sz="6" w:space="1" w:color="auto"/>
      </w:pBdr>
      <w:tabs>
        <w:tab w:val="right" w:pos="9526"/>
        <w:tab w:val="decimal" w:pos="9639"/>
      </w:tabs>
    </w:pPr>
    <w:rPr>
      <w:rFonts w:ascii="Times New Roman" w:hAnsi="Times New Roman"/>
      <w:b/>
      <w:sz w:val="22"/>
    </w:rPr>
  </w:style>
  <w:style w:type="paragraph" w:customStyle="1" w:styleId="HeaderBrev">
    <w:name w:val="HeaderBrev"/>
    <w:basedOn w:val="Header"/>
    <w:next w:val="Normal"/>
    <w:rsid w:val="00BC0AD7"/>
    <w:pPr>
      <w:tabs>
        <w:tab w:val="left" w:pos="2835"/>
      </w:tabs>
      <w:spacing w:line="240" w:lineRule="auto"/>
    </w:pPr>
    <w:rPr>
      <w:rFonts w:ascii="Helvetica" w:hAnsi="Helvetica"/>
      <w:color w:val="FFFFFF"/>
      <w:sz w:val="15"/>
    </w:rPr>
  </w:style>
  <w:style w:type="paragraph" w:customStyle="1" w:styleId="Heading10">
    <w:name w:val="Heading (1)"/>
    <w:basedOn w:val="Heading1"/>
    <w:next w:val="Normal"/>
    <w:rsid w:val="00BC0AD7"/>
    <w:pPr>
      <w:outlineLvl w:val="9"/>
    </w:pPr>
  </w:style>
  <w:style w:type="paragraph" w:customStyle="1" w:styleId="Heading1D">
    <w:name w:val="Heading (1)D"/>
    <w:basedOn w:val="Heading10"/>
    <w:rsid w:val="00BC0AD7"/>
    <w:pPr>
      <w:spacing w:after="0"/>
    </w:pPr>
    <w:rPr>
      <w:lang w:val="en-GB"/>
    </w:rPr>
  </w:style>
  <w:style w:type="paragraph" w:customStyle="1" w:styleId="Heading1D8">
    <w:name w:val="Heading (1)D8"/>
    <w:basedOn w:val="Normal"/>
    <w:rsid w:val="00BC0AD7"/>
    <w:pPr>
      <w:tabs>
        <w:tab w:val="decimal" w:pos="9639"/>
      </w:tabs>
      <w:spacing w:after="180" w:line="160" w:lineRule="atLeast"/>
    </w:pPr>
    <w:rPr>
      <w:b/>
      <w:i/>
      <w:sz w:val="16"/>
      <w:lang w:val="en-GB"/>
    </w:rPr>
  </w:style>
  <w:style w:type="paragraph" w:customStyle="1" w:styleId="Heading20">
    <w:name w:val="Heading (2)"/>
    <w:basedOn w:val="Heading2"/>
    <w:next w:val="Normal"/>
    <w:rsid w:val="00BC0AD7"/>
    <w:pPr>
      <w:outlineLvl w:val="9"/>
    </w:pPr>
  </w:style>
  <w:style w:type="paragraph" w:customStyle="1" w:styleId="Heading30">
    <w:name w:val="Heading (3)"/>
    <w:basedOn w:val="Heading3"/>
    <w:next w:val="Normal"/>
    <w:rsid w:val="00BC0AD7"/>
    <w:pPr>
      <w:outlineLvl w:val="9"/>
    </w:pPr>
  </w:style>
  <w:style w:type="paragraph" w:customStyle="1" w:styleId="Heading40">
    <w:name w:val="Heading (4)"/>
    <w:basedOn w:val="Heading4"/>
    <w:next w:val="Normal"/>
    <w:rsid w:val="00BC0AD7"/>
    <w:pPr>
      <w:outlineLvl w:val="9"/>
    </w:pPr>
  </w:style>
  <w:style w:type="paragraph" w:customStyle="1" w:styleId="Heading1D0">
    <w:name w:val="Heading 1D"/>
    <w:basedOn w:val="Heading1"/>
    <w:rsid w:val="00BC0AD7"/>
    <w:pPr>
      <w:spacing w:after="0"/>
    </w:pPr>
    <w:rPr>
      <w:lang w:val="en-GB"/>
    </w:rPr>
  </w:style>
  <w:style w:type="paragraph" w:customStyle="1" w:styleId="Heading1D80">
    <w:name w:val="Heading 1D8"/>
    <w:basedOn w:val="Heading1D8"/>
    <w:rsid w:val="00BC0AD7"/>
    <w:pPr>
      <w:outlineLvl w:val="0"/>
    </w:pPr>
  </w:style>
  <w:style w:type="character" w:styleId="Hyperlink">
    <w:name w:val="Hyperlink"/>
    <w:basedOn w:val="DefaultParagraphFont"/>
    <w:uiPriority w:val="99"/>
    <w:rsid w:val="00BC0AD7"/>
    <w:rPr>
      <w:color w:val="0000FF"/>
      <w:u w:val="single"/>
    </w:rPr>
  </w:style>
  <w:style w:type="paragraph" w:styleId="ListBullet">
    <w:name w:val="List Bullet"/>
    <w:basedOn w:val="Normal"/>
    <w:autoRedefine/>
    <w:rsid w:val="00BC0AD7"/>
    <w:pPr>
      <w:numPr>
        <w:numId w:val="2"/>
      </w:numPr>
      <w:tabs>
        <w:tab w:val="decimal" w:pos="9356"/>
      </w:tabs>
    </w:pPr>
  </w:style>
  <w:style w:type="paragraph" w:customStyle="1" w:styleId="nsstab">
    <w:name w:val="nss_tab"/>
    <w:basedOn w:val="Normal"/>
    <w:rsid w:val="00BC0AD7"/>
    <w:pPr>
      <w:tabs>
        <w:tab w:val="decimal" w:pos="7088"/>
        <w:tab w:val="decimal" w:pos="8222"/>
        <w:tab w:val="decimal" w:pos="9354"/>
      </w:tabs>
      <w:spacing w:line="330" w:lineRule="atLeast"/>
    </w:pPr>
    <w:rPr>
      <w:rFonts w:ascii="CG Times (WN)" w:hAnsi="CG Times (WN)"/>
    </w:rPr>
  </w:style>
  <w:style w:type="character" w:styleId="PageNumber">
    <w:name w:val="page number"/>
    <w:basedOn w:val="DefaultParagraphFont"/>
    <w:rsid w:val="00BC0AD7"/>
    <w:rPr>
      <w:rFonts w:ascii="Times New Roman" w:hAnsi="Times New Roman"/>
      <w:sz w:val="22"/>
    </w:rPr>
  </w:style>
  <w:style w:type="table" w:styleId="TableGrid">
    <w:name w:val="Table Grid"/>
    <w:basedOn w:val="TableNormal"/>
    <w:rsid w:val="00BC0AD7"/>
    <w:pPr>
      <w:spacing w:after="0" w:line="3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C0AD7"/>
    <w:pPr>
      <w:spacing w:before="240"/>
      <w:jc w:val="left"/>
    </w:pPr>
  </w:style>
  <w:style w:type="paragraph" w:styleId="TOC2">
    <w:name w:val="toc 2"/>
    <w:basedOn w:val="TOC1"/>
    <w:next w:val="Normal"/>
    <w:uiPriority w:val="39"/>
    <w:rsid w:val="00BC0AD7"/>
    <w:pPr>
      <w:spacing w:before="0"/>
    </w:pPr>
  </w:style>
  <w:style w:type="paragraph" w:styleId="TOC3">
    <w:name w:val="toc 3"/>
    <w:basedOn w:val="TOC1"/>
    <w:next w:val="Normal"/>
    <w:uiPriority w:val="39"/>
    <w:rsid w:val="00BC0AD7"/>
    <w:pPr>
      <w:spacing w:before="0"/>
    </w:pPr>
  </w:style>
  <w:style w:type="paragraph" w:styleId="TOC4">
    <w:name w:val="toc 4"/>
    <w:basedOn w:val="TOC1"/>
    <w:next w:val="Normal"/>
    <w:uiPriority w:val="39"/>
    <w:rsid w:val="00BC0AD7"/>
    <w:pPr>
      <w:spacing w:before="0"/>
    </w:pPr>
  </w:style>
  <w:style w:type="paragraph" w:styleId="TOC5">
    <w:name w:val="toc 5"/>
    <w:basedOn w:val="TOC1"/>
    <w:next w:val="Normal"/>
    <w:uiPriority w:val="39"/>
    <w:rsid w:val="00BC0AD7"/>
    <w:pPr>
      <w:spacing w:before="0"/>
    </w:pPr>
  </w:style>
  <w:style w:type="paragraph" w:styleId="TOC6">
    <w:name w:val="toc 6"/>
    <w:basedOn w:val="Normal"/>
    <w:next w:val="Normal"/>
    <w:autoRedefine/>
    <w:semiHidden/>
    <w:rsid w:val="00BC0AD7"/>
    <w:pPr>
      <w:ind w:left="1100"/>
    </w:pPr>
  </w:style>
  <w:style w:type="paragraph" w:styleId="TOC7">
    <w:name w:val="toc 7"/>
    <w:basedOn w:val="Normal"/>
    <w:next w:val="Normal"/>
    <w:autoRedefine/>
    <w:semiHidden/>
    <w:rsid w:val="00BC0AD7"/>
    <w:pPr>
      <w:ind w:left="1320"/>
    </w:pPr>
  </w:style>
  <w:style w:type="paragraph" w:styleId="TOC8">
    <w:name w:val="toc 8"/>
    <w:basedOn w:val="Normal"/>
    <w:next w:val="Normal"/>
    <w:autoRedefine/>
    <w:semiHidden/>
    <w:rsid w:val="00BC0AD7"/>
    <w:pPr>
      <w:ind w:left="1540"/>
    </w:pPr>
  </w:style>
  <w:style w:type="paragraph" w:styleId="TOC9">
    <w:name w:val="toc 9"/>
    <w:basedOn w:val="Normal"/>
    <w:next w:val="Normal"/>
    <w:autoRedefine/>
    <w:semiHidden/>
    <w:rsid w:val="00BC0AD7"/>
    <w:pPr>
      <w:ind w:left="1760"/>
    </w:pPr>
  </w:style>
  <w:style w:type="paragraph" w:customStyle="1" w:styleId="underskrift">
    <w:name w:val="underskrift"/>
    <w:aliases w:val="u"/>
    <w:basedOn w:val="Normal"/>
    <w:rsid w:val="00BC0AD7"/>
    <w:pPr>
      <w:tabs>
        <w:tab w:val="left" w:pos="2552"/>
        <w:tab w:val="left" w:pos="5103"/>
        <w:tab w:val="left" w:pos="7655"/>
      </w:tabs>
      <w:spacing w:line="240" w:lineRule="atLeast"/>
      <w:jc w:val="left"/>
    </w:pPr>
  </w:style>
  <w:style w:type="paragraph" w:customStyle="1" w:styleId="Figur12">
    <w:name w:val="Figur12"/>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82">
    <w:name w:val="Graf82"/>
    <w:rsid w:val="00BC0AD7"/>
    <w:pPr>
      <w:spacing w:after="0" w:line="240" w:lineRule="auto"/>
    </w:pPr>
    <w:rPr>
      <w:rFonts w:ascii="Times New Roman" w:eastAsia="Times New Roman" w:hAnsi="Times New Roman" w:cs="Times New Roman"/>
      <w:noProof/>
      <w:sz w:val="3276"/>
      <w:szCs w:val="20"/>
      <w:lang w:val="en-GB"/>
    </w:rPr>
  </w:style>
  <w:style w:type="paragraph" w:customStyle="1" w:styleId="Arbejdsplan2DK">
    <w:name w:val="Arbejdsplan2DK"/>
    <w:rsid w:val="00BC0AD7"/>
    <w:pPr>
      <w:spacing w:after="0" w:line="240" w:lineRule="auto"/>
    </w:pPr>
    <w:rPr>
      <w:rFonts w:ascii="Times New Roman" w:eastAsia="Times New Roman" w:hAnsi="Times New Roman" w:cs="Times New Roman"/>
      <w:noProof/>
      <w:sz w:val="3276"/>
      <w:szCs w:val="20"/>
      <w:lang w:val="en-GB"/>
    </w:rPr>
  </w:style>
  <w:style w:type="paragraph" w:customStyle="1" w:styleId="AutoCorrect">
    <w:name w:val="AutoCorrect"/>
    <w:rsid w:val="00BC0AD7"/>
    <w:pPr>
      <w:spacing w:after="0"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semiHidden/>
    <w:rsid w:val="00BC0AD7"/>
    <w:rPr>
      <w:rFonts w:ascii="Tahoma" w:hAnsi="Tahoma" w:cs="Tahoma"/>
      <w:sz w:val="16"/>
      <w:szCs w:val="16"/>
    </w:rPr>
  </w:style>
  <w:style w:type="character" w:customStyle="1" w:styleId="BalloonTextChar">
    <w:name w:val="Balloon Text Char"/>
    <w:basedOn w:val="DefaultParagraphFont"/>
    <w:link w:val="BalloonText"/>
    <w:semiHidden/>
    <w:rsid w:val="00BC0AD7"/>
    <w:rPr>
      <w:rFonts w:ascii="Tahoma" w:eastAsia="Times New Roman" w:hAnsi="Tahoma" w:cs="Tahoma"/>
      <w:sz w:val="16"/>
      <w:szCs w:val="16"/>
    </w:rPr>
  </w:style>
  <w:style w:type="paragraph" w:customStyle="1" w:styleId="Block">
    <w:name w:val="Block"/>
    <w:basedOn w:val="NormalIndent"/>
    <w:rsid w:val="00BC0AD7"/>
    <w:pPr>
      <w:widowControl w:val="0"/>
      <w:spacing w:before="240" w:line="240" w:lineRule="auto"/>
      <w:ind w:left="0"/>
      <w:jc w:val="left"/>
    </w:pPr>
    <w:rPr>
      <w:sz w:val="24"/>
      <w:lang w:val="en-US"/>
    </w:rPr>
  </w:style>
  <w:style w:type="paragraph" w:styleId="BodyText">
    <w:name w:val="Body Text"/>
    <w:basedOn w:val="Normal"/>
    <w:link w:val="BodyTextChar"/>
    <w:rsid w:val="00BC0AD7"/>
    <w:pPr>
      <w:spacing w:after="120"/>
    </w:pPr>
  </w:style>
  <w:style w:type="character" w:customStyle="1" w:styleId="BodyTextChar">
    <w:name w:val="Body Text Char"/>
    <w:basedOn w:val="DefaultParagraphFont"/>
    <w:link w:val="BodyText"/>
    <w:rsid w:val="00BC0AD7"/>
    <w:rPr>
      <w:rFonts w:ascii="Times New Roman" w:eastAsia="Times New Roman" w:hAnsi="Times New Roman" w:cs="Times New Roman"/>
      <w:szCs w:val="20"/>
    </w:rPr>
  </w:style>
  <w:style w:type="paragraph" w:styleId="BodyTextIndent2">
    <w:name w:val="Body Text Indent 2"/>
    <w:basedOn w:val="Normal"/>
    <w:link w:val="BodyTextIndent2Char"/>
    <w:rsid w:val="00BC0AD7"/>
    <w:pPr>
      <w:ind w:left="550"/>
    </w:pPr>
  </w:style>
  <w:style w:type="character" w:customStyle="1" w:styleId="BodyTextIndent2Char">
    <w:name w:val="Body Text Indent 2 Char"/>
    <w:basedOn w:val="DefaultParagraphFont"/>
    <w:link w:val="BodyTextIndent2"/>
    <w:rsid w:val="00BC0AD7"/>
    <w:rPr>
      <w:rFonts w:ascii="Times New Roman" w:eastAsia="Times New Roman" w:hAnsi="Times New Roman" w:cs="Times New Roman"/>
      <w:szCs w:val="20"/>
    </w:rPr>
  </w:style>
  <w:style w:type="paragraph" w:customStyle="1" w:styleId="BrdtekstTabel">
    <w:name w:val="BrødtekstTabel"/>
    <w:basedOn w:val="Normal"/>
    <w:rsid w:val="00BC0AD7"/>
    <w:pPr>
      <w:spacing w:line="240" w:lineRule="auto"/>
    </w:pPr>
    <w:rPr>
      <w:position w:val="2"/>
    </w:rPr>
  </w:style>
  <w:style w:type="paragraph" w:styleId="Caption">
    <w:name w:val="caption"/>
    <w:basedOn w:val="Normal"/>
    <w:next w:val="Normal"/>
    <w:qFormat/>
    <w:rsid w:val="00BC0AD7"/>
    <w:pPr>
      <w:spacing w:line="240" w:lineRule="auto"/>
      <w:jc w:val="left"/>
    </w:pPr>
    <w:rPr>
      <w:b/>
    </w:rPr>
  </w:style>
  <w:style w:type="character" w:styleId="CommentReference">
    <w:name w:val="annotation reference"/>
    <w:basedOn w:val="DefaultParagraphFont"/>
    <w:semiHidden/>
    <w:rsid w:val="00BC0AD7"/>
    <w:rPr>
      <w:sz w:val="22"/>
      <w:szCs w:val="16"/>
    </w:rPr>
  </w:style>
  <w:style w:type="paragraph" w:styleId="CommentText">
    <w:name w:val="annotation text"/>
    <w:basedOn w:val="Normal"/>
    <w:link w:val="CommentTextChar"/>
    <w:semiHidden/>
    <w:rsid w:val="00BC0AD7"/>
    <w:pPr>
      <w:tabs>
        <w:tab w:val="decimal" w:pos="9356"/>
      </w:tabs>
      <w:spacing w:line="240" w:lineRule="atLeast"/>
    </w:pPr>
    <w:rPr>
      <w:sz w:val="20"/>
    </w:rPr>
  </w:style>
  <w:style w:type="character" w:customStyle="1" w:styleId="CommentTextChar">
    <w:name w:val="Comment Text Char"/>
    <w:basedOn w:val="DefaultParagraphFont"/>
    <w:link w:val="CommentText"/>
    <w:semiHidden/>
    <w:rsid w:val="00BC0AD7"/>
    <w:rPr>
      <w:rFonts w:ascii="Times New Roman" w:eastAsia="Times New Roman" w:hAnsi="Times New Roman" w:cs="Times New Roman"/>
      <w:sz w:val="20"/>
      <w:szCs w:val="20"/>
    </w:rPr>
  </w:style>
  <w:style w:type="character" w:customStyle="1" w:styleId="DONOTTRANSLATE">
    <w:name w:val="DO_NOT_TRANSLATE"/>
    <w:rsid w:val="00BC0AD7"/>
    <w:rPr>
      <w:rFonts w:ascii="Courier New" w:hAnsi="Courier New" w:cs="Courier New"/>
      <w:noProof/>
      <w:color w:val="800000"/>
    </w:rPr>
  </w:style>
  <w:style w:type="character" w:styleId="Emphasis">
    <w:name w:val="Emphasis"/>
    <w:basedOn w:val="DefaultParagraphFont"/>
    <w:qFormat/>
    <w:rsid w:val="00BC0AD7"/>
    <w:rPr>
      <w:i/>
      <w:iCs/>
    </w:rPr>
  </w:style>
  <w:style w:type="paragraph" w:customStyle="1" w:styleId="forretningsgang1">
    <w:name w:val="forretningsgang1"/>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2">
    <w:name w:val="forretningsgang2"/>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3">
    <w:name w:val="forretningsgang3"/>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4">
    <w:name w:val="forretningsgang4"/>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5">
    <w:name w:val="forretningsgang5"/>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6">
    <w:name w:val="forretningsgang6"/>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7">
    <w:name w:val="Forretningsgang7"/>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72">
    <w:name w:val="Forretningsgang72"/>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kolonne">
    <w:name w:val="kolonne"/>
    <w:rsid w:val="00BC0AD7"/>
    <w:pPr>
      <w:tabs>
        <w:tab w:val="left" w:pos="0"/>
        <w:tab w:val="decimal" w:pos="8902"/>
      </w:tabs>
      <w:spacing w:after="0" w:line="240" w:lineRule="atLeast"/>
    </w:pPr>
    <w:rPr>
      <w:rFonts w:ascii="Times New Roman" w:eastAsia="Times New Roman" w:hAnsi="Times New Roman" w:cs="Times New Roman"/>
      <w:szCs w:val="20"/>
    </w:rPr>
  </w:style>
  <w:style w:type="paragraph" w:customStyle="1" w:styleId="hover">
    <w:name w:val="h_over"/>
    <w:basedOn w:val="kolonne"/>
    <w:next w:val="Normal"/>
    <w:rsid w:val="00BC0AD7"/>
    <w:pPr>
      <w:tabs>
        <w:tab w:val="center" w:pos="8301"/>
      </w:tabs>
      <w:spacing w:line="240" w:lineRule="exact"/>
    </w:pPr>
    <w:rPr>
      <w:b/>
    </w:rPr>
  </w:style>
  <w:style w:type="paragraph" w:customStyle="1" w:styleId="htab">
    <w:name w:val="h_tab"/>
    <w:basedOn w:val="kolonne"/>
    <w:rsid w:val="00BC0AD7"/>
    <w:pPr>
      <w:spacing w:line="340" w:lineRule="atLeast"/>
    </w:pPr>
  </w:style>
  <w:style w:type="paragraph" w:customStyle="1" w:styleId="hstreg">
    <w:name w:val="h_streg"/>
    <w:basedOn w:val="htab"/>
    <w:next w:val="htab"/>
    <w:rsid w:val="00BC0AD7"/>
    <w:pPr>
      <w:spacing w:line="40" w:lineRule="exact"/>
    </w:pPr>
    <w:rPr>
      <w:position w:val="6"/>
    </w:rPr>
  </w:style>
  <w:style w:type="paragraph" w:customStyle="1" w:styleId="h3">
    <w:name w:val="h3"/>
    <w:rsid w:val="00BC0AD7"/>
    <w:pPr>
      <w:tabs>
        <w:tab w:val="left" w:pos="0"/>
        <w:tab w:val="center" w:pos="5579"/>
        <w:tab w:val="center" w:pos="7167"/>
        <w:tab w:val="center" w:pos="8754"/>
      </w:tabs>
      <w:spacing w:after="0" w:line="40" w:lineRule="exact"/>
    </w:pPr>
    <w:rPr>
      <w:rFonts w:ascii="Times New Roman" w:eastAsia="Times New Roman" w:hAnsi="Times New Roman" w:cs="Times New Roman"/>
      <w:position w:val="6"/>
      <w:szCs w:val="20"/>
    </w:rPr>
  </w:style>
  <w:style w:type="paragraph" w:customStyle="1" w:styleId="hhover">
    <w:name w:val="hh_over"/>
    <w:basedOn w:val="kolonne"/>
    <w:next w:val="Normal"/>
    <w:rsid w:val="00BC0AD7"/>
    <w:pPr>
      <w:tabs>
        <w:tab w:val="center" w:pos="6713"/>
        <w:tab w:val="center" w:pos="8301"/>
      </w:tabs>
    </w:pPr>
    <w:rPr>
      <w:b/>
    </w:rPr>
  </w:style>
  <w:style w:type="paragraph" w:customStyle="1" w:styleId="hhtab">
    <w:name w:val="hh_tab"/>
    <w:basedOn w:val="kolonne"/>
    <w:rsid w:val="00BC0AD7"/>
    <w:pPr>
      <w:tabs>
        <w:tab w:val="decimal" w:pos="7314"/>
      </w:tabs>
      <w:spacing w:line="340" w:lineRule="atLeast"/>
    </w:pPr>
  </w:style>
  <w:style w:type="paragraph" w:customStyle="1" w:styleId="hhstreg">
    <w:name w:val="hh_streg"/>
    <w:basedOn w:val="hhtab"/>
    <w:next w:val="hhtab"/>
    <w:rsid w:val="00BC0AD7"/>
    <w:pPr>
      <w:spacing w:line="40" w:lineRule="exact"/>
    </w:pPr>
    <w:rPr>
      <w:position w:val="6"/>
    </w:rPr>
  </w:style>
  <w:style w:type="paragraph" w:customStyle="1" w:styleId="hhhm">
    <w:name w:val="hhh_m"/>
    <w:basedOn w:val="Normal"/>
    <w:rsid w:val="00BC0AD7"/>
    <w:pPr>
      <w:tabs>
        <w:tab w:val="center" w:pos="7371"/>
        <w:tab w:val="decimal" w:pos="9639"/>
      </w:tabs>
      <w:spacing w:after="120" w:line="240" w:lineRule="atLeast"/>
    </w:pPr>
    <w:rPr>
      <w:b/>
      <w:sz w:val="26"/>
    </w:rPr>
  </w:style>
  <w:style w:type="paragraph" w:customStyle="1" w:styleId="hhhover">
    <w:name w:val="hhh_over"/>
    <w:basedOn w:val="kolonne"/>
    <w:next w:val="Normal"/>
    <w:rsid w:val="00BC0AD7"/>
    <w:pPr>
      <w:tabs>
        <w:tab w:val="center" w:pos="5126"/>
        <w:tab w:val="center" w:pos="6713"/>
        <w:tab w:val="center" w:pos="8301"/>
      </w:tabs>
    </w:pPr>
    <w:rPr>
      <w:b/>
    </w:rPr>
  </w:style>
  <w:style w:type="paragraph" w:customStyle="1" w:styleId="hhhtab">
    <w:name w:val="hhh_tab"/>
    <w:basedOn w:val="kolonne"/>
    <w:rsid w:val="00BC0AD7"/>
    <w:pPr>
      <w:tabs>
        <w:tab w:val="decimal" w:pos="5727"/>
        <w:tab w:val="decimal" w:pos="7314"/>
      </w:tabs>
      <w:spacing w:line="340" w:lineRule="atLeast"/>
    </w:pPr>
  </w:style>
  <w:style w:type="paragraph" w:customStyle="1" w:styleId="hhhstreg">
    <w:name w:val="hhh_streg"/>
    <w:basedOn w:val="hhhtab"/>
    <w:next w:val="hhhtab"/>
    <w:rsid w:val="00BC0AD7"/>
    <w:pPr>
      <w:spacing w:line="40" w:lineRule="exact"/>
    </w:pPr>
    <w:rPr>
      <w:position w:val="6"/>
    </w:rPr>
  </w:style>
  <w:style w:type="paragraph" w:customStyle="1" w:styleId="hhhhk">
    <w:name w:val="hhhh_k"/>
    <w:basedOn w:val="Normal"/>
    <w:rsid w:val="00BC0AD7"/>
    <w:pPr>
      <w:tabs>
        <w:tab w:val="center" w:pos="6663"/>
        <w:tab w:val="decimal" w:pos="9639"/>
      </w:tabs>
      <w:spacing w:after="120" w:line="240" w:lineRule="atLeast"/>
    </w:pPr>
    <w:rPr>
      <w:b/>
      <w:sz w:val="26"/>
    </w:rPr>
  </w:style>
  <w:style w:type="paragraph" w:customStyle="1" w:styleId="hhhhover">
    <w:name w:val="hhhh_over"/>
    <w:basedOn w:val="kolonne"/>
    <w:next w:val="Normal"/>
    <w:rsid w:val="00BC0AD7"/>
    <w:pPr>
      <w:tabs>
        <w:tab w:val="center" w:pos="3538"/>
        <w:tab w:val="center" w:pos="5126"/>
        <w:tab w:val="center" w:pos="6713"/>
        <w:tab w:val="center" w:pos="8301"/>
      </w:tabs>
    </w:pPr>
    <w:rPr>
      <w:b/>
    </w:rPr>
  </w:style>
  <w:style w:type="paragraph" w:customStyle="1" w:styleId="hhhhtab">
    <w:name w:val="hhhh_tab"/>
    <w:basedOn w:val="kolonne"/>
    <w:rsid w:val="00BC0AD7"/>
    <w:pPr>
      <w:tabs>
        <w:tab w:val="decimal" w:pos="4139"/>
        <w:tab w:val="decimal" w:pos="5727"/>
        <w:tab w:val="decimal" w:pos="7314"/>
      </w:tabs>
      <w:spacing w:line="340" w:lineRule="atLeast"/>
    </w:pPr>
  </w:style>
  <w:style w:type="paragraph" w:customStyle="1" w:styleId="hhhhstreg">
    <w:name w:val="hhhh_streg"/>
    <w:basedOn w:val="hhhhtab"/>
    <w:next w:val="hhhhtab"/>
    <w:rsid w:val="00BC0AD7"/>
    <w:pPr>
      <w:spacing w:line="40" w:lineRule="exact"/>
    </w:pPr>
    <w:rPr>
      <w:position w:val="6"/>
    </w:rPr>
  </w:style>
  <w:style w:type="paragraph" w:customStyle="1" w:styleId="hhhhhm">
    <w:name w:val="hhhhh_m"/>
    <w:basedOn w:val="Normal"/>
    <w:rsid w:val="00BC0AD7"/>
    <w:pPr>
      <w:tabs>
        <w:tab w:val="center" w:pos="5851"/>
        <w:tab w:val="decimal" w:pos="9639"/>
      </w:tabs>
      <w:spacing w:after="120" w:line="240" w:lineRule="atLeast"/>
    </w:pPr>
    <w:rPr>
      <w:b/>
      <w:sz w:val="26"/>
    </w:rPr>
  </w:style>
  <w:style w:type="paragraph" w:customStyle="1" w:styleId="hhhhhover">
    <w:name w:val="hhhhh_over"/>
    <w:basedOn w:val="kolonne"/>
    <w:next w:val="Normal"/>
    <w:rsid w:val="00BC0AD7"/>
    <w:pPr>
      <w:tabs>
        <w:tab w:val="center" w:pos="1950"/>
        <w:tab w:val="center" w:pos="3538"/>
        <w:tab w:val="center" w:pos="5126"/>
        <w:tab w:val="center" w:pos="6770"/>
        <w:tab w:val="center" w:pos="8301"/>
      </w:tabs>
    </w:pPr>
    <w:rPr>
      <w:b/>
    </w:rPr>
  </w:style>
  <w:style w:type="paragraph" w:customStyle="1" w:styleId="hhhhhtab">
    <w:name w:val="hhhhh_tab"/>
    <w:basedOn w:val="kolonne"/>
    <w:rsid w:val="00BC0AD7"/>
    <w:pPr>
      <w:tabs>
        <w:tab w:val="decimal" w:pos="2552"/>
        <w:tab w:val="decimal" w:pos="4139"/>
        <w:tab w:val="decimal" w:pos="5676"/>
        <w:tab w:val="decimal" w:pos="7314"/>
      </w:tabs>
      <w:spacing w:line="340" w:lineRule="atLeast"/>
    </w:pPr>
  </w:style>
  <w:style w:type="paragraph" w:customStyle="1" w:styleId="hhhhhstreg">
    <w:name w:val="hhhhh_streg"/>
    <w:basedOn w:val="hhhhhtab"/>
    <w:next w:val="hhhhhtab"/>
    <w:rsid w:val="00BC0AD7"/>
    <w:pPr>
      <w:spacing w:line="40" w:lineRule="exact"/>
    </w:pPr>
    <w:rPr>
      <w:position w:val="6"/>
    </w:rPr>
  </w:style>
  <w:style w:type="paragraph" w:customStyle="1" w:styleId="hhhhhhtab">
    <w:name w:val="hhhhhh_tab"/>
    <w:basedOn w:val="kolonne"/>
    <w:rsid w:val="00BC0AD7"/>
    <w:pPr>
      <w:tabs>
        <w:tab w:val="clear" w:pos="8902"/>
        <w:tab w:val="decimal" w:pos="1701"/>
        <w:tab w:val="decimal" w:pos="3289"/>
        <w:tab w:val="decimal" w:pos="4876"/>
        <w:tab w:val="decimal" w:pos="6464"/>
        <w:tab w:val="decimal" w:pos="8051"/>
        <w:tab w:val="decimal" w:pos="9639"/>
      </w:tabs>
      <w:spacing w:line="340" w:lineRule="atLeast"/>
    </w:pPr>
  </w:style>
  <w:style w:type="paragraph" w:customStyle="1" w:styleId="hhhhhhstreg">
    <w:name w:val="hhhhhh_streg"/>
    <w:basedOn w:val="hhhhhhtab"/>
    <w:next w:val="hhhhhhtab"/>
    <w:rsid w:val="00BC0AD7"/>
    <w:pPr>
      <w:spacing w:line="40" w:lineRule="exact"/>
    </w:pPr>
  </w:style>
  <w:style w:type="paragraph" w:customStyle="1" w:styleId="hhhtover">
    <w:name w:val="hhht_over"/>
    <w:basedOn w:val="kolonne"/>
    <w:next w:val="Normal"/>
    <w:rsid w:val="00BC0AD7"/>
    <w:pPr>
      <w:tabs>
        <w:tab w:val="center" w:pos="3992"/>
        <w:tab w:val="center" w:pos="5579"/>
        <w:tab w:val="center" w:pos="7167"/>
        <w:tab w:val="center" w:pos="8528"/>
      </w:tabs>
    </w:pPr>
    <w:rPr>
      <w:b/>
    </w:rPr>
  </w:style>
  <w:style w:type="paragraph" w:customStyle="1" w:styleId="hhhttab">
    <w:name w:val="hhht_tab"/>
    <w:basedOn w:val="kolonne"/>
    <w:rsid w:val="00BC0AD7"/>
    <w:pPr>
      <w:tabs>
        <w:tab w:val="decimal" w:pos="4593"/>
        <w:tab w:val="decimal" w:pos="6180"/>
        <w:tab w:val="decimal" w:pos="7768"/>
      </w:tabs>
      <w:spacing w:line="340" w:lineRule="atLeast"/>
    </w:pPr>
  </w:style>
  <w:style w:type="paragraph" w:customStyle="1" w:styleId="hhhtstreg">
    <w:name w:val="hhht_streg"/>
    <w:basedOn w:val="hhhttab"/>
    <w:next w:val="hhhttab"/>
    <w:rsid w:val="00BC0AD7"/>
    <w:pPr>
      <w:spacing w:line="40" w:lineRule="exact"/>
    </w:pPr>
    <w:rPr>
      <w:position w:val="6"/>
    </w:rPr>
  </w:style>
  <w:style w:type="paragraph" w:customStyle="1" w:styleId="hhtover">
    <w:name w:val="hht_over"/>
    <w:basedOn w:val="kolonne"/>
    <w:next w:val="Normal"/>
    <w:rsid w:val="00BC0AD7"/>
    <w:pPr>
      <w:tabs>
        <w:tab w:val="center" w:pos="5579"/>
        <w:tab w:val="center" w:pos="7167"/>
        <w:tab w:val="center" w:pos="8528"/>
      </w:tabs>
    </w:pPr>
    <w:rPr>
      <w:b/>
    </w:rPr>
  </w:style>
  <w:style w:type="paragraph" w:customStyle="1" w:styleId="hhttab">
    <w:name w:val="hht_tab"/>
    <w:basedOn w:val="kolonne"/>
    <w:rsid w:val="00BC0AD7"/>
    <w:pPr>
      <w:tabs>
        <w:tab w:val="decimal" w:pos="6180"/>
        <w:tab w:val="decimal" w:pos="7768"/>
      </w:tabs>
      <w:spacing w:line="340" w:lineRule="atLeast"/>
    </w:pPr>
  </w:style>
  <w:style w:type="paragraph" w:customStyle="1" w:styleId="hhtstreg">
    <w:name w:val="hht_streg"/>
    <w:basedOn w:val="hhttab"/>
    <w:next w:val="hhttab"/>
    <w:rsid w:val="00BC0AD7"/>
    <w:pPr>
      <w:spacing w:line="40" w:lineRule="exact"/>
    </w:pPr>
    <w:rPr>
      <w:position w:val="6"/>
    </w:rPr>
  </w:style>
  <w:style w:type="paragraph" w:customStyle="1" w:styleId="hhxhhmk">
    <w:name w:val="hhxhh_mk"/>
    <w:basedOn w:val="Normal"/>
    <w:next w:val="Normal"/>
    <w:rsid w:val="00BC0AD7"/>
    <w:pPr>
      <w:tabs>
        <w:tab w:val="center" w:pos="1525"/>
        <w:tab w:val="center" w:pos="8244"/>
        <w:tab w:val="decimal" w:pos="9639"/>
      </w:tabs>
      <w:spacing w:after="120" w:line="240" w:lineRule="atLeast"/>
    </w:pPr>
    <w:rPr>
      <w:b/>
    </w:rPr>
  </w:style>
  <w:style w:type="paragraph" w:customStyle="1" w:styleId="hhxhmk">
    <w:name w:val="hhxh_mk"/>
    <w:basedOn w:val="hhxhhmk"/>
    <w:rsid w:val="00BC0AD7"/>
    <w:pPr>
      <w:tabs>
        <w:tab w:val="clear" w:pos="8244"/>
        <w:tab w:val="center" w:pos="9072"/>
      </w:tabs>
    </w:pPr>
    <w:rPr>
      <w:sz w:val="26"/>
    </w:rPr>
  </w:style>
  <w:style w:type="paragraph" w:customStyle="1" w:styleId="hhxhhover">
    <w:name w:val="hhxhh_over"/>
    <w:basedOn w:val="hhover"/>
    <w:next w:val="Normal"/>
    <w:rsid w:val="00BC0AD7"/>
    <w:pPr>
      <w:tabs>
        <w:tab w:val="center" w:pos="731"/>
        <w:tab w:val="center" w:pos="2319"/>
      </w:tabs>
    </w:pPr>
  </w:style>
  <w:style w:type="paragraph" w:customStyle="1" w:styleId="hhxhhtab">
    <w:name w:val="hhxhh_tab"/>
    <w:basedOn w:val="hhtab"/>
    <w:rsid w:val="00BC0AD7"/>
    <w:pPr>
      <w:tabs>
        <w:tab w:val="decimal" w:pos="1332"/>
        <w:tab w:val="decimal" w:pos="2920"/>
        <w:tab w:val="left" w:pos="3260"/>
      </w:tabs>
    </w:pPr>
  </w:style>
  <w:style w:type="paragraph" w:customStyle="1" w:styleId="hhxhhstreg">
    <w:name w:val="hhxhh_streg"/>
    <w:basedOn w:val="hhxhhtab"/>
    <w:next w:val="hhxhhtab"/>
    <w:rsid w:val="00BC0AD7"/>
    <w:pPr>
      <w:spacing w:line="40" w:lineRule="exact"/>
    </w:pPr>
    <w:rPr>
      <w:position w:val="6"/>
    </w:rPr>
  </w:style>
  <w:style w:type="paragraph" w:customStyle="1" w:styleId="HRaster">
    <w:name w:val="HRaster"/>
    <w:rsid w:val="00BC0AD7"/>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htover">
    <w:name w:val="ht_over"/>
    <w:basedOn w:val="kolonne"/>
    <w:next w:val="Normal"/>
    <w:rsid w:val="00BC0AD7"/>
    <w:pPr>
      <w:tabs>
        <w:tab w:val="center" w:pos="7167"/>
        <w:tab w:val="center" w:pos="8528"/>
      </w:tabs>
    </w:pPr>
    <w:rPr>
      <w:b/>
    </w:rPr>
  </w:style>
  <w:style w:type="paragraph" w:customStyle="1" w:styleId="httab">
    <w:name w:val="ht_tab"/>
    <w:basedOn w:val="kolonne"/>
    <w:rsid w:val="00BC0AD7"/>
    <w:pPr>
      <w:tabs>
        <w:tab w:val="decimal" w:pos="7768"/>
      </w:tabs>
      <w:spacing w:line="340" w:lineRule="atLeast"/>
    </w:pPr>
  </w:style>
  <w:style w:type="paragraph" w:customStyle="1" w:styleId="htstreg">
    <w:name w:val="ht_streg"/>
    <w:basedOn w:val="httab"/>
    <w:next w:val="httab"/>
    <w:rsid w:val="00BC0AD7"/>
    <w:pPr>
      <w:spacing w:line="40" w:lineRule="exact"/>
    </w:pPr>
    <w:rPr>
      <w:position w:val="6"/>
    </w:rPr>
  </w:style>
  <w:style w:type="paragraph" w:customStyle="1" w:styleId="hthtab">
    <w:name w:val="hth_tab"/>
    <w:basedOn w:val="kolonne"/>
    <w:rsid w:val="00BC0AD7"/>
    <w:pPr>
      <w:tabs>
        <w:tab w:val="clear" w:pos="8902"/>
        <w:tab w:val="decimal" w:pos="6917"/>
        <w:tab w:val="decimal" w:pos="8051"/>
        <w:tab w:val="decimal" w:pos="9639"/>
      </w:tabs>
      <w:spacing w:line="340" w:lineRule="atLeast"/>
    </w:pPr>
  </w:style>
  <w:style w:type="paragraph" w:customStyle="1" w:styleId="hthhtab">
    <w:name w:val="hthh_tab"/>
    <w:basedOn w:val="kolonne"/>
    <w:rsid w:val="00BC0AD7"/>
    <w:pPr>
      <w:tabs>
        <w:tab w:val="clear" w:pos="8902"/>
        <w:tab w:val="decimal" w:pos="5330"/>
        <w:tab w:val="decimal" w:pos="6464"/>
        <w:tab w:val="decimal" w:pos="8051"/>
        <w:tab w:val="decimal" w:pos="9639"/>
      </w:tabs>
      <w:spacing w:line="340" w:lineRule="atLeast"/>
    </w:pPr>
  </w:style>
  <w:style w:type="paragraph" w:customStyle="1" w:styleId="hthtover">
    <w:name w:val="htht_over"/>
    <w:basedOn w:val="kolonne"/>
    <w:next w:val="Normal"/>
    <w:rsid w:val="00BC0AD7"/>
    <w:pPr>
      <w:tabs>
        <w:tab w:val="center" w:pos="4445"/>
        <w:tab w:val="center" w:pos="5806"/>
        <w:tab w:val="center" w:pos="7167"/>
        <w:tab w:val="center" w:pos="8528"/>
      </w:tabs>
    </w:pPr>
    <w:rPr>
      <w:b/>
    </w:rPr>
  </w:style>
  <w:style w:type="paragraph" w:customStyle="1" w:styleId="hthttab">
    <w:name w:val="htht_tab"/>
    <w:basedOn w:val="kolonne"/>
    <w:rsid w:val="00BC0AD7"/>
    <w:pPr>
      <w:tabs>
        <w:tab w:val="decimal" w:pos="5046"/>
        <w:tab w:val="decimal" w:pos="6180"/>
        <w:tab w:val="decimal" w:pos="7768"/>
      </w:tabs>
      <w:spacing w:line="340" w:lineRule="atLeast"/>
    </w:pPr>
  </w:style>
  <w:style w:type="paragraph" w:customStyle="1" w:styleId="hthtstreg">
    <w:name w:val="htht_streg"/>
    <w:basedOn w:val="hthttab"/>
    <w:next w:val="hthttab"/>
    <w:rsid w:val="00BC0AD7"/>
    <w:pPr>
      <w:spacing w:line="40" w:lineRule="exact"/>
    </w:pPr>
    <w:rPr>
      <w:position w:val="6"/>
    </w:rPr>
  </w:style>
  <w:style w:type="paragraph" w:customStyle="1" w:styleId="httover">
    <w:name w:val="htt_over"/>
    <w:basedOn w:val="kolonne"/>
    <w:next w:val="Normal"/>
    <w:rsid w:val="00BC0AD7"/>
    <w:pPr>
      <w:tabs>
        <w:tab w:val="center" w:pos="6033"/>
        <w:tab w:val="center" w:pos="7394"/>
        <w:tab w:val="center" w:pos="8528"/>
      </w:tabs>
    </w:pPr>
    <w:rPr>
      <w:b/>
    </w:rPr>
  </w:style>
  <w:style w:type="paragraph" w:customStyle="1" w:styleId="htttab">
    <w:name w:val="htt_tab"/>
    <w:basedOn w:val="kolonne"/>
    <w:rsid w:val="00BC0AD7"/>
    <w:pPr>
      <w:tabs>
        <w:tab w:val="decimal" w:pos="6634"/>
        <w:tab w:val="decimal" w:pos="7768"/>
      </w:tabs>
      <w:spacing w:line="340" w:lineRule="atLeast"/>
    </w:pPr>
  </w:style>
  <w:style w:type="paragraph" w:customStyle="1" w:styleId="httstreg">
    <w:name w:val="htt_streg"/>
    <w:basedOn w:val="htttab"/>
    <w:next w:val="htttab"/>
    <w:rsid w:val="00BC0AD7"/>
    <w:pPr>
      <w:spacing w:line="40" w:lineRule="exact"/>
    </w:pPr>
    <w:rPr>
      <w:position w:val="6"/>
    </w:rPr>
  </w:style>
  <w:style w:type="paragraph" w:customStyle="1" w:styleId="Kasse">
    <w:name w:val="Kasse"/>
    <w:basedOn w:val="Normal"/>
    <w:rsid w:val="00BC0AD7"/>
    <w:pPr>
      <w:spacing w:line="240" w:lineRule="auto"/>
      <w:jc w:val="center"/>
    </w:pPr>
    <w:rPr>
      <w:b/>
      <w:sz w:val="14"/>
    </w:rPr>
  </w:style>
  <w:style w:type="paragraph" w:customStyle="1" w:styleId="KoncernStartCM">
    <w:name w:val="KoncernStartCM"/>
    <w:rsid w:val="00BC0AD7"/>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21">
    <w:name w:val="KoncernStartCM21"/>
    <w:rsid w:val="00BC0AD7"/>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lederk">
    <w:name w:val="lederk"/>
    <w:rsid w:val="00BC0AD7"/>
    <w:pPr>
      <w:widowControl w:val="0"/>
      <w:spacing w:before="240" w:after="0" w:line="240" w:lineRule="auto"/>
    </w:pPr>
    <w:rPr>
      <w:rFonts w:ascii="Times New Roman" w:eastAsia="Times New Roman" w:hAnsi="Times New Roman" w:cs="Times New Roman"/>
      <w:sz w:val="24"/>
      <w:szCs w:val="20"/>
      <w:lang w:val="en-US"/>
    </w:rPr>
  </w:style>
  <w:style w:type="paragraph" w:customStyle="1" w:styleId="lederkAddIn5DE0">
    <w:name w:val="lederkAddIn5DE0"/>
    <w:rsid w:val="00BC0AD7"/>
    <w:pPr>
      <w:spacing w:after="0" w:line="240" w:lineRule="auto"/>
    </w:pPr>
    <w:rPr>
      <w:rFonts w:ascii="Times New Roman" w:eastAsia="Times New Roman" w:hAnsi="Times New Roman" w:cs="Times New Roman"/>
      <w:noProof/>
      <w:sz w:val="3276"/>
      <w:szCs w:val="20"/>
      <w:lang w:val="en-GB"/>
    </w:rPr>
  </w:style>
  <w:style w:type="paragraph" w:customStyle="1" w:styleId="lederkAddIn5DK0">
    <w:name w:val="lederkAddIn5DK0"/>
    <w:rsid w:val="00BC0AD7"/>
    <w:pPr>
      <w:spacing w:after="0" w:line="240" w:lineRule="auto"/>
    </w:pPr>
    <w:rPr>
      <w:rFonts w:ascii="Times New Roman" w:eastAsia="Times New Roman" w:hAnsi="Times New Roman" w:cs="Times New Roman"/>
      <w:noProof/>
      <w:sz w:val="3276"/>
      <w:szCs w:val="20"/>
      <w:lang w:val="en-GB"/>
    </w:rPr>
  </w:style>
  <w:style w:type="paragraph" w:customStyle="1" w:styleId="lederkAddIn5DK1">
    <w:name w:val="lederkAddIn5DK1"/>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lederkAddIn5DK2">
    <w:name w:val="lederkAddIn5DK2"/>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lederkAddIn5UK0">
    <w:name w:val="lederkAddIn5UK0"/>
    <w:rsid w:val="00BC0AD7"/>
    <w:pPr>
      <w:spacing w:after="0" w:line="240" w:lineRule="auto"/>
    </w:pPr>
    <w:rPr>
      <w:rFonts w:ascii="Times New Roman" w:eastAsia="Times New Roman" w:hAnsi="Times New Roman" w:cs="Times New Roman"/>
      <w:noProof/>
      <w:sz w:val="3276"/>
      <w:szCs w:val="20"/>
      <w:lang w:val="en-GB"/>
    </w:rPr>
  </w:style>
  <w:style w:type="paragraph" w:customStyle="1" w:styleId="lederkAddIn5UK02">
    <w:name w:val="lederkAddIn5UK02"/>
    <w:rsid w:val="00BC0AD7"/>
    <w:pPr>
      <w:spacing w:after="0" w:line="240" w:lineRule="auto"/>
    </w:pPr>
    <w:rPr>
      <w:rFonts w:ascii="Times New Roman" w:eastAsia="Times New Roman" w:hAnsi="Times New Roman" w:cs="Times New Roman"/>
      <w:noProof/>
      <w:sz w:val="3276"/>
      <w:szCs w:val="20"/>
      <w:lang w:val="en-GB"/>
    </w:rPr>
  </w:style>
  <w:style w:type="paragraph" w:customStyle="1" w:styleId="nhover">
    <w:name w:val="nh_over"/>
    <w:basedOn w:val="hover"/>
    <w:next w:val="Normal"/>
    <w:rsid w:val="00BC0AD7"/>
    <w:pPr>
      <w:tabs>
        <w:tab w:val="decimal" w:pos="8051"/>
      </w:tabs>
    </w:pPr>
  </w:style>
  <w:style w:type="paragraph" w:customStyle="1" w:styleId="nhstreg">
    <w:name w:val="nh_streg"/>
    <w:basedOn w:val="hstreg"/>
    <w:rsid w:val="00BC0AD7"/>
    <w:pPr>
      <w:tabs>
        <w:tab w:val="decimal" w:pos="8051"/>
      </w:tabs>
    </w:pPr>
  </w:style>
  <w:style w:type="paragraph" w:customStyle="1" w:styleId="nhtab">
    <w:name w:val="nh_tab"/>
    <w:basedOn w:val="htab"/>
    <w:rsid w:val="00BC0AD7"/>
    <w:pPr>
      <w:tabs>
        <w:tab w:val="right" w:pos="8051"/>
      </w:tabs>
    </w:pPr>
  </w:style>
  <w:style w:type="paragraph" w:customStyle="1" w:styleId="nhhover">
    <w:name w:val="nhh_over"/>
    <w:basedOn w:val="hhover"/>
    <w:next w:val="Normal"/>
    <w:rsid w:val="00BC0AD7"/>
    <w:pPr>
      <w:tabs>
        <w:tab w:val="decimal" w:pos="6464"/>
      </w:tabs>
    </w:pPr>
  </w:style>
  <w:style w:type="paragraph" w:customStyle="1" w:styleId="nhhstreg">
    <w:name w:val="nhh_streg"/>
    <w:basedOn w:val="hhstreg"/>
    <w:next w:val="Normal"/>
    <w:rsid w:val="00BC0AD7"/>
    <w:pPr>
      <w:tabs>
        <w:tab w:val="decimal" w:pos="6464"/>
      </w:tabs>
    </w:pPr>
  </w:style>
  <w:style w:type="paragraph" w:customStyle="1" w:styleId="nhhtab">
    <w:name w:val="nhh_tab"/>
    <w:basedOn w:val="hhtab"/>
    <w:rsid w:val="00BC0AD7"/>
    <w:pPr>
      <w:tabs>
        <w:tab w:val="right" w:pos="6464"/>
      </w:tabs>
    </w:pPr>
  </w:style>
  <w:style w:type="paragraph" w:customStyle="1" w:styleId="nhhhover">
    <w:name w:val="nhhh_over"/>
    <w:basedOn w:val="hhhover"/>
    <w:next w:val="Normal"/>
    <w:rsid w:val="00BC0AD7"/>
    <w:pPr>
      <w:tabs>
        <w:tab w:val="decimal" w:pos="4876"/>
      </w:tabs>
    </w:pPr>
  </w:style>
  <w:style w:type="paragraph" w:customStyle="1" w:styleId="nhhhstreg">
    <w:name w:val="nhhh_streg"/>
    <w:basedOn w:val="hhhstreg"/>
    <w:next w:val="Normal"/>
    <w:rsid w:val="00BC0AD7"/>
    <w:pPr>
      <w:tabs>
        <w:tab w:val="decimal" w:pos="4876"/>
      </w:tabs>
    </w:pPr>
  </w:style>
  <w:style w:type="paragraph" w:customStyle="1" w:styleId="nhhhtab">
    <w:name w:val="nhhh_tab"/>
    <w:basedOn w:val="hhhtab"/>
    <w:rsid w:val="00BC0AD7"/>
    <w:pPr>
      <w:tabs>
        <w:tab w:val="right" w:pos="4876"/>
      </w:tabs>
    </w:pPr>
  </w:style>
  <w:style w:type="paragraph" w:customStyle="1" w:styleId="nhhhhover">
    <w:name w:val="nhhhh_over"/>
    <w:basedOn w:val="hhhhover"/>
    <w:next w:val="Normal"/>
    <w:rsid w:val="00BC0AD7"/>
    <w:pPr>
      <w:tabs>
        <w:tab w:val="decimal" w:pos="3289"/>
      </w:tabs>
    </w:pPr>
  </w:style>
  <w:style w:type="paragraph" w:customStyle="1" w:styleId="nhhhhstreg">
    <w:name w:val="nhhhh_streg"/>
    <w:basedOn w:val="hhhhstreg"/>
    <w:next w:val="Normal"/>
    <w:rsid w:val="00BC0AD7"/>
    <w:pPr>
      <w:tabs>
        <w:tab w:val="decimal" w:pos="3289"/>
      </w:tabs>
    </w:pPr>
  </w:style>
  <w:style w:type="paragraph" w:customStyle="1" w:styleId="nhhhhtab">
    <w:name w:val="nhhhh_tab"/>
    <w:basedOn w:val="hhhhtab"/>
    <w:rsid w:val="00BC0AD7"/>
    <w:pPr>
      <w:tabs>
        <w:tab w:val="right" w:pos="3289"/>
      </w:tabs>
    </w:pPr>
  </w:style>
  <w:style w:type="paragraph" w:customStyle="1" w:styleId="nhhhtover">
    <w:name w:val="nhhht_over"/>
    <w:basedOn w:val="hhhtover"/>
    <w:next w:val="Normal"/>
    <w:rsid w:val="00BC0AD7"/>
    <w:pPr>
      <w:tabs>
        <w:tab w:val="decimal" w:pos="3742"/>
      </w:tabs>
    </w:pPr>
  </w:style>
  <w:style w:type="paragraph" w:customStyle="1" w:styleId="nhhhtstreg">
    <w:name w:val="nhhht_streg"/>
    <w:basedOn w:val="hhhtstreg"/>
    <w:next w:val="Normal"/>
    <w:rsid w:val="00BC0AD7"/>
    <w:pPr>
      <w:tabs>
        <w:tab w:val="decimal" w:pos="3742"/>
      </w:tabs>
    </w:pPr>
  </w:style>
  <w:style w:type="paragraph" w:customStyle="1" w:styleId="nhhhttab">
    <w:name w:val="nhhht_tab"/>
    <w:basedOn w:val="hhhttab"/>
    <w:rsid w:val="00BC0AD7"/>
    <w:pPr>
      <w:tabs>
        <w:tab w:val="right" w:pos="3742"/>
      </w:tabs>
    </w:pPr>
  </w:style>
  <w:style w:type="paragraph" w:customStyle="1" w:styleId="nhhtover">
    <w:name w:val="nhht_over"/>
    <w:basedOn w:val="hhtover"/>
    <w:next w:val="Normal"/>
    <w:rsid w:val="00BC0AD7"/>
    <w:pPr>
      <w:tabs>
        <w:tab w:val="decimal" w:pos="5330"/>
      </w:tabs>
    </w:pPr>
  </w:style>
  <w:style w:type="paragraph" w:customStyle="1" w:styleId="nhhtstreg">
    <w:name w:val="nhht_streg"/>
    <w:basedOn w:val="hhtstreg"/>
    <w:next w:val="Normal"/>
    <w:rsid w:val="00BC0AD7"/>
    <w:pPr>
      <w:tabs>
        <w:tab w:val="decimal" w:pos="5330"/>
      </w:tabs>
    </w:pPr>
  </w:style>
  <w:style w:type="paragraph" w:customStyle="1" w:styleId="nhhttab">
    <w:name w:val="nhht_tab"/>
    <w:basedOn w:val="hhttab"/>
    <w:rsid w:val="00BC0AD7"/>
    <w:pPr>
      <w:tabs>
        <w:tab w:val="right" w:pos="5330"/>
      </w:tabs>
    </w:pPr>
  </w:style>
  <w:style w:type="paragraph" w:customStyle="1" w:styleId="nhhxhhover">
    <w:name w:val="nhhxhh_over"/>
    <w:basedOn w:val="hhxhhover"/>
    <w:next w:val="Normal"/>
    <w:rsid w:val="00BC0AD7"/>
    <w:pPr>
      <w:tabs>
        <w:tab w:val="decimal" w:pos="6464"/>
      </w:tabs>
    </w:pPr>
  </w:style>
  <w:style w:type="paragraph" w:customStyle="1" w:styleId="nhhxhhstreg">
    <w:name w:val="nhhxhh_streg"/>
    <w:basedOn w:val="hhxhhstreg"/>
    <w:next w:val="Normal"/>
    <w:rsid w:val="00BC0AD7"/>
    <w:pPr>
      <w:tabs>
        <w:tab w:val="right" w:pos="6464"/>
      </w:tabs>
    </w:pPr>
  </w:style>
  <w:style w:type="paragraph" w:customStyle="1" w:styleId="nhhxhhtab">
    <w:name w:val="nhhxhh_tab"/>
    <w:basedOn w:val="hhxhhtab"/>
    <w:rsid w:val="00BC0AD7"/>
    <w:pPr>
      <w:tabs>
        <w:tab w:val="right" w:pos="6464"/>
      </w:tabs>
    </w:pPr>
  </w:style>
  <w:style w:type="paragraph" w:customStyle="1" w:styleId="nhtover">
    <w:name w:val="nht_over"/>
    <w:basedOn w:val="htover"/>
    <w:next w:val="Normal"/>
    <w:rsid w:val="00BC0AD7"/>
    <w:pPr>
      <w:tabs>
        <w:tab w:val="decimal" w:pos="6917"/>
      </w:tabs>
    </w:pPr>
  </w:style>
  <w:style w:type="paragraph" w:customStyle="1" w:styleId="nhtstreg">
    <w:name w:val="nht_streg"/>
    <w:basedOn w:val="htstreg"/>
    <w:next w:val="Normal"/>
    <w:rsid w:val="00BC0AD7"/>
    <w:pPr>
      <w:tabs>
        <w:tab w:val="decimal" w:pos="6917"/>
      </w:tabs>
    </w:pPr>
  </w:style>
  <w:style w:type="paragraph" w:customStyle="1" w:styleId="nhttab">
    <w:name w:val="nht_tab"/>
    <w:basedOn w:val="httab"/>
    <w:rsid w:val="00BC0AD7"/>
    <w:pPr>
      <w:tabs>
        <w:tab w:val="right" w:pos="6917"/>
      </w:tabs>
    </w:pPr>
  </w:style>
  <w:style w:type="paragraph" w:customStyle="1" w:styleId="nhthtover">
    <w:name w:val="nhtht_over"/>
    <w:basedOn w:val="hthtover"/>
    <w:next w:val="Normal"/>
    <w:rsid w:val="00BC0AD7"/>
    <w:pPr>
      <w:tabs>
        <w:tab w:val="decimal" w:pos="4196"/>
      </w:tabs>
    </w:pPr>
  </w:style>
  <w:style w:type="paragraph" w:customStyle="1" w:styleId="nhthtstreg">
    <w:name w:val="nhtht_streg"/>
    <w:basedOn w:val="hthtstreg"/>
    <w:next w:val="Normal"/>
    <w:rsid w:val="00BC0AD7"/>
    <w:pPr>
      <w:tabs>
        <w:tab w:val="decimal" w:pos="4196"/>
      </w:tabs>
    </w:pPr>
  </w:style>
  <w:style w:type="paragraph" w:customStyle="1" w:styleId="nhthttab">
    <w:name w:val="nhtht_tab"/>
    <w:basedOn w:val="hthttab"/>
    <w:rsid w:val="00BC0AD7"/>
    <w:pPr>
      <w:tabs>
        <w:tab w:val="right" w:pos="4196"/>
      </w:tabs>
    </w:pPr>
  </w:style>
  <w:style w:type="paragraph" w:customStyle="1" w:styleId="nhttover">
    <w:name w:val="nhtt_over"/>
    <w:basedOn w:val="httover"/>
    <w:next w:val="Normal"/>
    <w:rsid w:val="00BC0AD7"/>
    <w:pPr>
      <w:tabs>
        <w:tab w:val="decimal" w:pos="5783"/>
      </w:tabs>
    </w:pPr>
  </w:style>
  <w:style w:type="paragraph" w:customStyle="1" w:styleId="nhttstreg">
    <w:name w:val="nhtt_streg"/>
    <w:basedOn w:val="httstreg"/>
    <w:next w:val="Normal"/>
    <w:rsid w:val="00BC0AD7"/>
    <w:pPr>
      <w:tabs>
        <w:tab w:val="decimal" w:pos="5783"/>
      </w:tabs>
    </w:pPr>
  </w:style>
  <w:style w:type="paragraph" w:customStyle="1" w:styleId="nhtttab">
    <w:name w:val="nhtt_tab"/>
    <w:basedOn w:val="htttab"/>
    <w:rsid w:val="00BC0AD7"/>
    <w:pPr>
      <w:tabs>
        <w:tab w:val="right" w:pos="5783"/>
      </w:tabs>
    </w:pPr>
  </w:style>
  <w:style w:type="paragraph" w:customStyle="1" w:styleId="tover">
    <w:name w:val="t_over"/>
    <w:basedOn w:val="kolonne"/>
    <w:next w:val="Normal"/>
    <w:rsid w:val="00BC0AD7"/>
    <w:pPr>
      <w:tabs>
        <w:tab w:val="center" w:pos="8528"/>
      </w:tabs>
    </w:pPr>
    <w:rPr>
      <w:b/>
    </w:rPr>
  </w:style>
  <w:style w:type="paragraph" w:customStyle="1" w:styleId="ntover">
    <w:name w:val="nt_over"/>
    <w:basedOn w:val="tover"/>
    <w:next w:val="Normal"/>
    <w:rsid w:val="00BC0AD7"/>
    <w:pPr>
      <w:tabs>
        <w:tab w:val="clear" w:pos="8528"/>
        <w:tab w:val="decimal" w:pos="8505"/>
      </w:tabs>
    </w:pPr>
  </w:style>
  <w:style w:type="paragraph" w:customStyle="1" w:styleId="ttab">
    <w:name w:val="t_tab"/>
    <w:basedOn w:val="kolonne"/>
    <w:rsid w:val="00BC0AD7"/>
    <w:pPr>
      <w:spacing w:line="340" w:lineRule="atLeast"/>
    </w:pPr>
  </w:style>
  <w:style w:type="paragraph" w:customStyle="1" w:styleId="tstreg">
    <w:name w:val="t_streg"/>
    <w:basedOn w:val="ttab"/>
    <w:next w:val="ttab"/>
    <w:rsid w:val="00BC0AD7"/>
    <w:pPr>
      <w:spacing w:line="40" w:lineRule="exact"/>
    </w:pPr>
    <w:rPr>
      <w:position w:val="6"/>
    </w:rPr>
  </w:style>
  <w:style w:type="paragraph" w:customStyle="1" w:styleId="ntstreg">
    <w:name w:val="nt_streg"/>
    <w:basedOn w:val="tstreg"/>
    <w:next w:val="Normal"/>
    <w:rsid w:val="00BC0AD7"/>
    <w:pPr>
      <w:tabs>
        <w:tab w:val="decimal" w:pos="8505"/>
      </w:tabs>
    </w:pPr>
  </w:style>
  <w:style w:type="paragraph" w:customStyle="1" w:styleId="nttab">
    <w:name w:val="nt_tab"/>
    <w:basedOn w:val="ttab"/>
    <w:rsid w:val="00BC0AD7"/>
    <w:pPr>
      <w:tabs>
        <w:tab w:val="right" w:pos="8505"/>
      </w:tabs>
    </w:pPr>
  </w:style>
  <w:style w:type="paragraph" w:customStyle="1" w:styleId="thxhtover">
    <w:name w:val="thxht_over"/>
    <w:basedOn w:val="htover"/>
    <w:next w:val="Normal"/>
    <w:rsid w:val="00BC0AD7"/>
    <w:pPr>
      <w:tabs>
        <w:tab w:val="center" w:pos="505"/>
        <w:tab w:val="center" w:pos="1865"/>
      </w:tabs>
    </w:pPr>
  </w:style>
  <w:style w:type="paragraph" w:customStyle="1" w:styleId="nthxhtover">
    <w:name w:val="nthxht_over"/>
    <w:basedOn w:val="thxhtover"/>
    <w:next w:val="Normal"/>
    <w:rsid w:val="00BC0AD7"/>
    <w:pPr>
      <w:tabs>
        <w:tab w:val="decimal" w:pos="6917"/>
      </w:tabs>
    </w:pPr>
  </w:style>
  <w:style w:type="paragraph" w:customStyle="1" w:styleId="thxhttab">
    <w:name w:val="thxht_tab"/>
    <w:basedOn w:val="httab"/>
    <w:rsid w:val="00BC0AD7"/>
    <w:pPr>
      <w:tabs>
        <w:tab w:val="decimal" w:pos="879"/>
        <w:tab w:val="decimal" w:pos="2466"/>
        <w:tab w:val="left" w:pos="2807"/>
      </w:tabs>
    </w:pPr>
  </w:style>
  <w:style w:type="paragraph" w:customStyle="1" w:styleId="thxhtstreg">
    <w:name w:val="thxht_streg"/>
    <w:basedOn w:val="thxhttab"/>
    <w:next w:val="thxhttab"/>
    <w:rsid w:val="00BC0AD7"/>
    <w:pPr>
      <w:spacing w:line="40" w:lineRule="exact"/>
    </w:pPr>
    <w:rPr>
      <w:position w:val="6"/>
    </w:rPr>
  </w:style>
  <w:style w:type="paragraph" w:customStyle="1" w:styleId="nthxhtstreg">
    <w:name w:val="nthxht_streg"/>
    <w:basedOn w:val="thxhtstreg"/>
    <w:next w:val="Normal"/>
    <w:rsid w:val="00BC0AD7"/>
    <w:pPr>
      <w:tabs>
        <w:tab w:val="right" w:pos="6917"/>
      </w:tabs>
    </w:pPr>
  </w:style>
  <w:style w:type="paragraph" w:customStyle="1" w:styleId="nthxhttab">
    <w:name w:val="nthxht_tab"/>
    <w:basedOn w:val="thxhttab"/>
    <w:rsid w:val="00BC0AD7"/>
    <w:pPr>
      <w:tabs>
        <w:tab w:val="right" w:pos="6917"/>
      </w:tabs>
    </w:pPr>
  </w:style>
  <w:style w:type="paragraph" w:customStyle="1" w:styleId="ttover">
    <w:name w:val="tt_over"/>
    <w:basedOn w:val="kolonne"/>
    <w:next w:val="Normal"/>
    <w:rsid w:val="00BC0AD7"/>
    <w:pPr>
      <w:tabs>
        <w:tab w:val="center" w:pos="7394"/>
        <w:tab w:val="center" w:pos="8528"/>
      </w:tabs>
    </w:pPr>
    <w:rPr>
      <w:b/>
    </w:rPr>
  </w:style>
  <w:style w:type="paragraph" w:customStyle="1" w:styleId="nttover">
    <w:name w:val="ntt_over"/>
    <w:basedOn w:val="ttover"/>
    <w:next w:val="Normal"/>
    <w:rsid w:val="00BC0AD7"/>
    <w:pPr>
      <w:tabs>
        <w:tab w:val="clear" w:pos="7394"/>
        <w:tab w:val="decimal" w:pos="7371"/>
      </w:tabs>
    </w:pPr>
  </w:style>
  <w:style w:type="paragraph" w:customStyle="1" w:styleId="tttab">
    <w:name w:val="tt_tab"/>
    <w:basedOn w:val="kolonne"/>
    <w:rsid w:val="00BC0AD7"/>
    <w:pPr>
      <w:tabs>
        <w:tab w:val="decimal" w:pos="7768"/>
      </w:tabs>
      <w:spacing w:line="340" w:lineRule="atLeast"/>
    </w:pPr>
  </w:style>
  <w:style w:type="paragraph" w:customStyle="1" w:styleId="ttstreg">
    <w:name w:val="tt_streg"/>
    <w:basedOn w:val="tttab"/>
    <w:next w:val="tttab"/>
    <w:rsid w:val="00BC0AD7"/>
    <w:pPr>
      <w:spacing w:line="40" w:lineRule="exact"/>
    </w:pPr>
    <w:rPr>
      <w:position w:val="6"/>
    </w:rPr>
  </w:style>
  <w:style w:type="paragraph" w:customStyle="1" w:styleId="nttstreg">
    <w:name w:val="ntt_streg"/>
    <w:basedOn w:val="ttstreg"/>
    <w:next w:val="Normal"/>
    <w:rsid w:val="00BC0AD7"/>
    <w:pPr>
      <w:tabs>
        <w:tab w:val="decimal" w:pos="7371"/>
      </w:tabs>
    </w:pPr>
  </w:style>
  <w:style w:type="paragraph" w:customStyle="1" w:styleId="ntttab">
    <w:name w:val="ntt_tab"/>
    <w:basedOn w:val="tttab"/>
    <w:rsid w:val="00BC0AD7"/>
    <w:pPr>
      <w:tabs>
        <w:tab w:val="right" w:pos="7371"/>
      </w:tabs>
    </w:pPr>
  </w:style>
  <w:style w:type="paragraph" w:customStyle="1" w:styleId="tttover">
    <w:name w:val="ttt_over"/>
    <w:basedOn w:val="kolonne"/>
    <w:next w:val="Normal"/>
    <w:rsid w:val="00BC0AD7"/>
    <w:pPr>
      <w:tabs>
        <w:tab w:val="center" w:pos="6260"/>
        <w:tab w:val="center" w:pos="7394"/>
        <w:tab w:val="center" w:pos="8528"/>
      </w:tabs>
    </w:pPr>
    <w:rPr>
      <w:b/>
    </w:rPr>
  </w:style>
  <w:style w:type="paragraph" w:customStyle="1" w:styleId="ntttover">
    <w:name w:val="nttt_over"/>
    <w:basedOn w:val="tttover"/>
    <w:next w:val="Normal"/>
    <w:rsid w:val="00BC0AD7"/>
    <w:pPr>
      <w:tabs>
        <w:tab w:val="clear" w:pos="6260"/>
        <w:tab w:val="decimal" w:pos="6237"/>
      </w:tabs>
    </w:pPr>
  </w:style>
  <w:style w:type="paragraph" w:customStyle="1" w:styleId="ttttab">
    <w:name w:val="ttt_tab"/>
    <w:basedOn w:val="kolonne"/>
    <w:rsid w:val="00BC0AD7"/>
    <w:pPr>
      <w:tabs>
        <w:tab w:val="decimal" w:pos="6634"/>
        <w:tab w:val="decimal" w:pos="7768"/>
      </w:tabs>
      <w:spacing w:line="340" w:lineRule="atLeast"/>
    </w:pPr>
  </w:style>
  <w:style w:type="paragraph" w:customStyle="1" w:styleId="tttstreg">
    <w:name w:val="ttt_streg"/>
    <w:basedOn w:val="ttttab"/>
    <w:next w:val="ttttab"/>
    <w:rsid w:val="00BC0AD7"/>
    <w:pPr>
      <w:spacing w:line="40" w:lineRule="exact"/>
    </w:pPr>
    <w:rPr>
      <w:position w:val="6"/>
    </w:rPr>
  </w:style>
  <w:style w:type="paragraph" w:customStyle="1" w:styleId="ntttstreg">
    <w:name w:val="nttt_streg"/>
    <w:basedOn w:val="tttstreg"/>
    <w:next w:val="Normal"/>
    <w:rsid w:val="00BC0AD7"/>
    <w:pPr>
      <w:tabs>
        <w:tab w:val="decimal" w:pos="6237"/>
      </w:tabs>
    </w:pPr>
  </w:style>
  <w:style w:type="paragraph" w:customStyle="1" w:styleId="nttttab">
    <w:name w:val="nttt_tab"/>
    <w:basedOn w:val="ttttab"/>
    <w:rsid w:val="00BC0AD7"/>
    <w:pPr>
      <w:tabs>
        <w:tab w:val="right" w:pos="6237"/>
      </w:tabs>
    </w:pPr>
  </w:style>
  <w:style w:type="paragraph" w:customStyle="1" w:styleId="ttttover">
    <w:name w:val="tttt_over"/>
    <w:basedOn w:val="kolonne"/>
    <w:next w:val="Normal"/>
    <w:rsid w:val="00BC0AD7"/>
    <w:pPr>
      <w:tabs>
        <w:tab w:val="center" w:pos="5126"/>
        <w:tab w:val="center" w:pos="6260"/>
        <w:tab w:val="center" w:pos="7394"/>
        <w:tab w:val="center" w:pos="8528"/>
      </w:tabs>
    </w:pPr>
    <w:rPr>
      <w:b/>
    </w:rPr>
  </w:style>
  <w:style w:type="paragraph" w:customStyle="1" w:styleId="nttttover">
    <w:name w:val="ntttt_over"/>
    <w:basedOn w:val="ttttover"/>
    <w:next w:val="Normal"/>
    <w:rsid w:val="00BC0AD7"/>
    <w:pPr>
      <w:tabs>
        <w:tab w:val="clear" w:pos="5126"/>
        <w:tab w:val="decimal" w:pos="5103"/>
      </w:tabs>
    </w:pPr>
  </w:style>
  <w:style w:type="paragraph" w:customStyle="1" w:styleId="tttttab">
    <w:name w:val="tttt_tab"/>
    <w:basedOn w:val="kolonne"/>
    <w:rsid w:val="00BC0AD7"/>
    <w:pPr>
      <w:tabs>
        <w:tab w:val="decimal" w:pos="5500"/>
        <w:tab w:val="decimal" w:pos="6634"/>
        <w:tab w:val="decimal" w:pos="7768"/>
      </w:tabs>
      <w:spacing w:line="340" w:lineRule="atLeast"/>
    </w:pPr>
  </w:style>
  <w:style w:type="paragraph" w:customStyle="1" w:styleId="ttttstreg">
    <w:name w:val="tttt_streg"/>
    <w:basedOn w:val="tttttab"/>
    <w:next w:val="tttttab"/>
    <w:rsid w:val="00BC0AD7"/>
    <w:pPr>
      <w:spacing w:line="40" w:lineRule="exact"/>
    </w:pPr>
    <w:rPr>
      <w:position w:val="6"/>
    </w:rPr>
  </w:style>
  <w:style w:type="paragraph" w:customStyle="1" w:styleId="nttttstreg">
    <w:name w:val="ntttt_streg"/>
    <w:basedOn w:val="ttttstreg"/>
    <w:next w:val="Normal"/>
    <w:rsid w:val="00BC0AD7"/>
    <w:pPr>
      <w:tabs>
        <w:tab w:val="decimal" w:pos="5103"/>
      </w:tabs>
    </w:pPr>
  </w:style>
  <w:style w:type="paragraph" w:customStyle="1" w:styleId="ntttttab">
    <w:name w:val="ntttt_tab"/>
    <w:basedOn w:val="tttttab"/>
    <w:rsid w:val="00BC0AD7"/>
    <w:pPr>
      <w:tabs>
        <w:tab w:val="right" w:pos="5103"/>
      </w:tabs>
    </w:pPr>
  </w:style>
  <w:style w:type="paragraph" w:customStyle="1" w:styleId="ttxttover">
    <w:name w:val="ttxtt_over"/>
    <w:basedOn w:val="ttover"/>
    <w:rsid w:val="00BC0AD7"/>
    <w:pPr>
      <w:tabs>
        <w:tab w:val="center" w:pos="505"/>
        <w:tab w:val="center" w:pos="1639"/>
      </w:tabs>
    </w:pPr>
  </w:style>
  <w:style w:type="paragraph" w:customStyle="1" w:styleId="nttxttover">
    <w:name w:val="nttxtt_over"/>
    <w:basedOn w:val="ttxttover"/>
    <w:next w:val="Normal"/>
    <w:rsid w:val="00BC0AD7"/>
    <w:pPr>
      <w:tabs>
        <w:tab w:val="clear" w:pos="7394"/>
        <w:tab w:val="decimal" w:pos="7371"/>
      </w:tabs>
    </w:pPr>
  </w:style>
  <w:style w:type="paragraph" w:customStyle="1" w:styleId="ttxtttab">
    <w:name w:val="ttxtt_tab"/>
    <w:basedOn w:val="tttab"/>
    <w:rsid w:val="00BC0AD7"/>
    <w:pPr>
      <w:tabs>
        <w:tab w:val="decimal" w:pos="879"/>
        <w:tab w:val="decimal" w:pos="2013"/>
        <w:tab w:val="left" w:pos="2353"/>
      </w:tabs>
    </w:pPr>
  </w:style>
  <w:style w:type="paragraph" w:customStyle="1" w:styleId="nttxtttab">
    <w:name w:val="nttxtt_tab"/>
    <w:basedOn w:val="ttxtttab"/>
    <w:rsid w:val="00BC0AD7"/>
    <w:pPr>
      <w:tabs>
        <w:tab w:val="right" w:pos="7371"/>
      </w:tabs>
    </w:pPr>
  </w:style>
  <w:style w:type="paragraph" w:customStyle="1" w:styleId="nttxttstreg">
    <w:name w:val="nttxtt_streg"/>
    <w:basedOn w:val="nttxtttab"/>
    <w:rsid w:val="00BC0AD7"/>
    <w:pPr>
      <w:spacing w:line="40" w:lineRule="exact"/>
    </w:pPr>
    <w:rPr>
      <w:position w:val="6"/>
    </w:rPr>
  </w:style>
  <w:style w:type="paragraph" w:customStyle="1" w:styleId="prototekst1DE">
    <w:name w:val="prototekst1DE"/>
    <w:rsid w:val="00BC0AD7"/>
    <w:pPr>
      <w:spacing w:after="0" w:line="240" w:lineRule="auto"/>
    </w:pPr>
    <w:rPr>
      <w:rFonts w:ascii="Times New Roman" w:eastAsia="Times New Roman" w:hAnsi="Times New Roman" w:cs="Times New Roman"/>
      <w:noProof/>
      <w:sz w:val="3276"/>
      <w:szCs w:val="20"/>
      <w:lang w:val="en-GB"/>
    </w:rPr>
  </w:style>
  <w:style w:type="paragraph" w:customStyle="1" w:styleId="prototekst1UK">
    <w:name w:val="prototekst1UK"/>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prototekst2DE">
    <w:name w:val="prototekst2DE"/>
    <w:rsid w:val="00BC0AD7"/>
    <w:pPr>
      <w:tabs>
        <w:tab w:val="left" w:pos="0"/>
        <w:tab w:val="left" w:pos="567"/>
        <w:tab w:val="decimal" w:pos="8902"/>
      </w:tabs>
      <w:spacing w:after="0" w:line="340" w:lineRule="atLeast"/>
      <w:jc w:val="both"/>
    </w:pPr>
    <w:rPr>
      <w:rFonts w:ascii="Times New Roman" w:eastAsia="Times New Roman" w:hAnsi="Times New Roman" w:cs="Times New Roman"/>
      <w:snapToGrid w:val="0"/>
    </w:rPr>
  </w:style>
  <w:style w:type="paragraph" w:customStyle="1" w:styleId="Prototekst2UK">
    <w:name w:val="Prototekst2UK"/>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prototekst32UK">
    <w:name w:val="prototekst32UK"/>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prototekst33UK">
    <w:name w:val="prototekst33UK"/>
    <w:rsid w:val="00BC0AD7"/>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prototekst3DE">
    <w:name w:val="prototekst3DE"/>
    <w:rsid w:val="00BC0AD7"/>
    <w:pPr>
      <w:tabs>
        <w:tab w:val="left" w:pos="0"/>
        <w:tab w:val="left" w:pos="567"/>
        <w:tab w:val="decimal" w:pos="8902"/>
      </w:tabs>
      <w:spacing w:after="0" w:line="340" w:lineRule="atLeast"/>
      <w:jc w:val="both"/>
    </w:pPr>
    <w:rPr>
      <w:rFonts w:ascii="Times New Roman" w:eastAsia="Times New Roman" w:hAnsi="Times New Roman" w:cs="Times New Roman"/>
      <w:snapToGrid w:val="0"/>
    </w:rPr>
  </w:style>
  <w:style w:type="paragraph" w:customStyle="1" w:styleId="Prototekst3UK">
    <w:name w:val="Prototekst3UK"/>
    <w:rsid w:val="00BC0AD7"/>
    <w:pPr>
      <w:spacing w:after="0" w:line="240" w:lineRule="auto"/>
    </w:pPr>
    <w:rPr>
      <w:rFonts w:ascii="Times New Roman" w:eastAsia="Times New Roman" w:hAnsi="Times New Roman" w:cs="Times New Roman"/>
      <w:noProof/>
      <w:sz w:val="3276"/>
      <w:szCs w:val="20"/>
      <w:lang w:val="en-GB"/>
    </w:rPr>
  </w:style>
  <w:style w:type="paragraph" w:customStyle="1" w:styleId="Skema">
    <w:name w:val="Skema"/>
    <w:basedOn w:val="Normal"/>
    <w:rsid w:val="00BC0AD7"/>
    <w:pPr>
      <w:spacing w:line="240" w:lineRule="atLeast"/>
    </w:pPr>
    <w:rPr>
      <w:sz w:val="20"/>
    </w:rPr>
  </w:style>
  <w:style w:type="paragraph" w:customStyle="1" w:styleId="Skemaoverskrift">
    <w:name w:val="Skemaoverskrift"/>
    <w:basedOn w:val="Normal"/>
    <w:rsid w:val="00BC0AD7"/>
    <w:pPr>
      <w:keepNext/>
      <w:spacing w:line="240" w:lineRule="auto"/>
      <w:jc w:val="left"/>
    </w:pPr>
    <w:rPr>
      <w:b/>
      <w:color w:val="000080"/>
      <w:lang w:val="en-GB"/>
    </w:rPr>
  </w:style>
  <w:style w:type="paragraph" w:customStyle="1" w:styleId="Skemeheadings">
    <w:name w:val="Skemeheadings"/>
    <w:basedOn w:val="Normal"/>
    <w:rsid w:val="00BC0AD7"/>
    <w:pPr>
      <w:keepNext/>
      <w:spacing w:line="240" w:lineRule="auto"/>
    </w:pPr>
    <w:rPr>
      <w:b/>
      <w:bCs/>
      <w:color w:val="000080"/>
      <w:sz w:val="26"/>
      <w:szCs w:val="26"/>
    </w:rPr>
  </w:style>
  <w:style w:type="character" w:customStyle="1" w:styleId="StorFedTegn">
    <w:name w:val="StorFedTegn"/>
    <w:basedOn w:val="DefaultParagraphFont"/>
    <w:rsid w:val="00BC0AD7"/>
    <w:rPr>
      <w:rFonts w:ascii="Times New Roman" w:hAnsi="Times New Roman"/>
      <w:b/>
      <w:caps/>
      <w:kern w:val="0"/>
      <w:sz w:val="22"/>
    </w:rPr>
  </w:style>
  <w:style w:type="character" w:customStyle="1" w:styleId="Streg">
    <w:name w:val="Streg"/>
    <w:rsid w:val="00BC0AD7"/>
    <w:rPr>
      <w:rFonts w:ascii="Times New Roman" w:hAnsi="Times New Roman"/>
      <w:position w:val="6"/>
      <w:sz w:val="22"/>
    </w:rPr>
  </w:style>
  <w:style w:type="character" w:styleId="Strong">
    <w:name w:val="Strong"/>
    <w:basedOn w:val="DefaultParagraphFont"/>
    <w:qFormat/>
    <w:rsid w:val="00BC0AD7"/>
    <w:rPr>
      <w:b/>
      <w:bCs/>
    </w:rPr>
  </w:style>
  <w:style w:type="paragraph" w:customStyle="1" w:styleId="thxhtmk">
    <w:name w:val="thxht_mk"/>
    <w:basedOn w:val="Normal"/>
    <w:next w:val="thxhtover"/>
    <w:rsid w:val="00BC0AD7"/>
    <w:pPr>
      <w:tabs>
        <w:tab w:val="center" w:pos="1134"/>
        <w:tab w:val="center" w:pos="8675"/>
        <w:tab w:val="decimal" w:pos="9639"/>
      </w:tabs>
      <w:spacing w:after="120" w:line="240" w:lineRule="atLeast"/>
    </w:pPr>
    <w:rPr>
      <w:b/>
    </w:rPr>
  </w:style>
  <w:style w:type="paragraph" w:customStyle="1" w:styleId="TRaster">
    <w:name w:val="TRaster"/>
    <w:rsid w:val="00BC0AD7"/>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TRaster1">
    <w:name w:val="TRaster1"/>
    <w:rsid w:val="00BC0AD7"/>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TRaster2">
    <w:name w:val="TRaster2"/>
    <w:rsid w:val="00BC0AD7"/>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ttxttmk">
    <w:name w:val="ttxtt_mk"/>
    <w:basedOn w:val="Normal"/>
    <w:rsid w:val="00BC0AD7"/>
    <w:pPr>
      <w:tabs>
        <w:tab w:val="center" w:pos="1072"/>
        <w:tab w:val="center" w:pos="8698"/>
        <w:tab w:val="decimal" w:pos="9639"/>
      </w:tabs>
      <w:spacing w:after="120" w:line="240" w:lineRule="atLeast"/>
    </w:pPr>
    <w:rPr>
      <w:b/>
    </w:rPr>
  </w:style>
  <w:style w:type="paragraph" w:customStyle="1" w:styleId="ttk">
    <w:name w:val="tt_k"/>
    <w:basedOn w:val="ttxttmk"/>
    <w:rsid w:val="00BC0AD7"/>
    <w:pPr>
      <w:tabs>
        <w:tab w:val="clear" w:pos="1072"/>
      </w:tabs>
    </w:pPr>
    <w:rPr>
      <w:sz w:val="26"/>
    </w:rPr>
  </w:style>
  <w:style w:type="paragraph" w:customStyle="1" w:styleId="tttk">
    <w:name w:val="ttt_k"/>
    <w:basedOn w:val="Normal"/>
    <w:rsid w:val="00BC0AD7"/>
    <w:pPr>
      <w:tabs>
        <w:tab w:val="center" w:pos="8080"/>
        <w:tab w:val="decimal" w:pos="9639"/>
      </w:tabs>
      <w:spacing w:after="120" w:line="240" w:lineRule="atLeast"/>
    </w:pPr>
    <w:rPr>
      <w:b/>
      <w:sz w:val="26"/>
    </w:rPr>
  </w:style>
  <w:style w:type="paragraph" w:customStyle="1" w:styleId="ttttk">
    <w:name w:val="tttt_k"/>
    <w:basedOn w:val="ttxttmk"/>
    <w:rsid w:val="00BC0AD7"/>
    <w:pPr>
      <w:tabs>
        <w:tab w:val="clear" w:pos="1072"/>
        <w:tab w:val="clear" w:pos="8698"/>
        <w:tab w:val="center" w:pos="7513"/>
      </w:tabs>
    </w:pPr>
    <w:rPr>
      <w:sz w:val="26"/>
    </w:rPr>
  </w:style>
  <w:style w:type="paragraph" w:customStyle="1" w:styleId="tttttk">
    <w:name w:val="ttttt_k"/>
    <w:basedOn w:val="ttxttmk"/>
    <w:rsid w:val="00BC0AD7"/>
    <w:pPr>
      <w:tabs>
        <w:tab w:val="clear" w:pos="1072"/>
        <w:tab w:val="clear" w:pos="8698"/>
        <w:tab w:val="center" w:pos="6997"/>
      </w:tabs>
    </w:pPr>
    <w:rPr>
      <w:sz w:val="26"/>
    </w:rPr>
  </w:style>
  <w:style w:type="paragraph" w:customStyle="1" w:styleId="tttttover">
    <w:name w:val="ttttt_over"/>
    <w:basedOn w:val="kolonne"/>
    <w:next w:val="Normal"/>
    <w:rsid w:val="00BC0AD7"/>
    <w:pPr>
      <w:tabs>
        <w:tab w:val="center" w:pos="3992"/>
        <w:tab w:val="center" w:pos="5126"/>
        <w:tab w:val="center" w:pos="6260"/>
        <w:tab w:val="center" w:pos="7394"/>
        <w:tab w:val="center" w:pos="8528"/>
      </w:tabs>
    </w:pPr>
    <w:rPr>
      <w:b/>
    </w:rPr>
  </w:style>
  <w:style w:type="paragraph" w:customStyle="1" w:styleId="ttttttab">
    <w:name w:val="ttttt_tab"/>
    <w:basedOn w:val="kolonne"/>
    <w:rsid w:val="00BC0AD7"/>
    <w:pPr>
      <w:tabs>
        <w:tab w:val="decimal" w:pos="4366"/>
        <w:tab w:val="decimal" w:pos="5500"/>
        <w:tab w:val="decimal" w:pos="6634"/>
        <w:tab w:val="decimal" w:pos="7768"/>
      </w:tabs>
      <w:spacing w:line="340" w:lineRule="atLeast"/>
    </w:pPr>
  </w:style>
  <w:style w:type="paragraph" w:customStyle="1" w:styleId="tttttstreg">
    <w:name w:val="ttttt_streg"/>
    <w:basedOn w:val="ttttttab"/>
    <w:next w:val="ttttttab"/>
    <w:rsid w:val="00BC0AD7"/>
    <w:pPr>
      <w:spacing w:line="40" w:lineRule="exact"/>
    </w:pPr>
    <w:rPr>
      <w:position w:val="6"/>
    </w:rPr>
  </w:style>
  <w:style w:type="paragraph" w:customStyle="1" w:styleId="ttttttk">
    <w:name w:val="tttttt_k"/>
    <w:basedOn w:val="tttttk"/>
    <w:rsid w:val="00BC0AD7"/>
    <w:pPr>
      <w:tabs>
        <w:tab w:val="clear" w:pos="6997"/>
        <w:tab w:val="center" w:pos="6430"/>
      </w:tabs>
    </w:pPr>
  </w:style>
  <w:style w:type="paragraph" w:customStyle="1" w:styleId="ttttttover">
    <w:name w:val="tttttt_over"/>
    <w:basedOn w:val="kolonne"/>
    <w:next w:val="Normal"/>
    <w:rsid w:val="00BC0AD7"/>
    <w:pPr>
      <w:tabs>
        <w:tab w:val="clear" w:pos="8902"/>
        <w:tab w:val="center" w:pos="3595"/>
        <w:tab w:val="center" w:pos="4729"/>
        <w:tab w:val="center" w:pos="5863"/>
        <w:tab w:val="center" w:pos="6997"/>
        <w:tab w:val="center" w:pos="8131"/>
        <w:tab w:val="center" w:pos="9265"/>
        <w:tab w:val="decimal" w:pos="9639"/>
      </w:tabs>
    </w:pPr>
    <w:rPr>
      <w:b/>
    </w:rPr>
  </w:style>
  <w:style w:type="paragraph" w:customStyle="1" w:styleId="tttttttab">
    <w:name w:val="tttttt_tab"/>
    <w:basedOn w:val="kolonne"/>
    <w:rsid w:val="00BC0AD7"/>
    <w:pPr>
      <w:tabs>
        <w:tab w:val="clear" w:pos="8902"/>
        <w:tab w:val="decimal" w:pos="3969"/>
        <w:tab w:val="decimal" w:pos="5103"/>
        <w:tab w:val="decimal" w:pos="6237"/>
        <w:tab w:val="decimal" w:pos="7371"/>
        <w:tab w:val="decimal" w:pos="8505"/>
        <w:tab w:val="decimal" w:pos="9639"/>
      </w:tabs>
      <w:spacing w:line="340" w:lineRule="atLeast"/>
    </w:pPr>
  </w:style>
  <w:style w:type="paragraph" w:customStyle="1" w:styleId="ttttttstreg">
    <w:name w:val="tttttt_streg"/>
    <w:basedOn w:val="tttttttab"/>
    <w:next w:val="tttttttab"/>
    <w:rsid w:val="00BC0AD7"/>
    <w:pPr>
      <w:spacing w:line="40" w:lineRule="exact"/>
    </w:pPr>
    <w:rPr>
      <w:position w:val="6"/>
    </w:rPr>
  </w:style>
  <w:style w:type="paragraph" w:customStyle="1" w:styleId="tttttttover">
    <w:name w:val="ttttttt_over"/>
    <w:basedOn w:val="kolonne"/>
    <w:next w:val="Normal"/>
    <w:rsid w:val="00BC0AD7"/>
    <w:pPr>
      <w:tabs>
        <w:tab w:val="clear" w:pos="8902"/>
        <w:tab w:val="center" w:pos="2461"/>
        <w:tab w:val="center" w:pos="3595"/>
        <w:tab w:val="center" w:pos="4729"/>
        <w:tab w:val="center" w:pos="5863"/>
        <w:tab w:val="center" w:pos="6997"/>
        <w:tab w:val="center" w:pos="8131"/>
        <w:tab w:val="center" w:pos="9265"/>
        <w:tab w:val="decimal" w:pos="9639"/>
      </w:tabs>
    </w:pPr>
    <w:rPr>
      <w:b/>
    </w:rPr>
  </w:style>
  <w:style w:type="paragraph" w:customStyle="1" w:styleId="ttttttttab">
    <w:name w:val="ttttttt_tab"/>
    <w:basedOn w:val="kolonne"/>
    <w:rsid w:val="00BC0AD7"/>
    <w:pPr>
      <w:tabs>
        <w:tab w:val="clear" w:pos="8902"/>
        <w:tab w:val="decimal" w:pos="2835"/>
        <w:tab w:val="decimal" w:pos="3969"/>
        <w:tab w:val="decimal" w:pos="5103"/>
        <w:tab w:val="decimal" w:pos="6237"/>
        <w:tab w:val="decimal" w:pos="7371"/>
        <w:tab w:val="decimal" w:pos="8505"/>
        <w:tab w:val="decimal" w:pos="9639"/>
      </w:tabs>
      <w:spacing w:line="340" w:lineRule="atLeast"/>
    </w:pPr>
  </w:style>
  <w:style w:type="paragraph" w:customStyle="1" w:styleId="tttttttstreg">
    <w:name w:val="ttttttt_streg"/>
    <w:basedOn w:val="ttttttttab"/>
    <w:next w:val="ttttttttab"/>
    <w:rsid w:val="00BC0AD7"/>
    <w:pPr>
      <w:spacing w:line="40" w:lineRule="exact"/>
    </w:pPr>
    <w:rPr>
      <w:position w:val="6"/>
    </w:rPr>
  </w:style>
  <w:style w:type="paragraph" w:customStyle="1" w:styleId="ttxtmk">
    <w:name w:val="ttxt_mk"/>
    <w:basedOn w:val="ttxttmk"/>
    <w:rsid w:val="00BC0AD7"/>
    <w:pPr>
      <w:tabs>
        <w:tab w:val="clear" w:pos="8698"/>
        <w:tab w:val="center" w:pos="9265"/>
      </w:tabs>
    </w:pPr>
    <w:rPr>
      <w:sz w:val="26"/>
    </w:rPr>
  </w:style>
  <w:style w:type="paragraph" w:customStyle="1" w:styleId="ttxttstreg">
    <w:name w:val="ttxtt_streg"/>
    <w:basedOn w:val="ttxtttab"/>
    <w:rsid w:val="00BC0AD7"/>
    <w:pPr>
      <w:spacing w:line="40" w:lineRule="exact"/>
    </w:pPr>
    <w:rPr>
      <w:position w:val="6"/>
    </w:rPr>
  </w:style>
  <w:style w:type="character" w:customStyle="1" w:styleId="tw4winError">
    <w:name w:val="tw4winError"/>
    <w:rsid w:val="00BC0AD7"/>
    <w:rPr>
      <w:rFonts w:ascii="Courier New" w:hAnsi="Courier New"/>
      <w:color w:val="00FF00"/>
      <w:sz w:val="40"/>
    </w:rPr>
  </w:style>
  <w:style w:type="character" w:customStyle="1" w:styleId="tw4winMark">
    <w:name w:val="tw4winMark"/>
    <w:rsid w:val="00BC0AD7"/>
    <w:rPr>
      <w:rFonts w:ascii="Courier New" w:hAnsi="Courier New"/>
      <w:vanish/>
      <w:color w:val="800080"/>
      <w:sz w:val="24"/>
      <w:vertAlign w:val="subscript"/>
    </w:rPr>
  </w:style>
  <w:style w:type="numbering" w:customStyle="1" w:styleId="Bulletliste">
    <w:name w:val="Bulletliste"/>
    <w:uiPriority w:val="99"/>
    <w:rsid w:val="00BC0AD7"/>
    <w:pPr>
      <w:numPr>
        <w:numId w:val="3"/>
      </w:numPr>
    </w:pPr>
  </w:style>
  <w:style w:type="paragraph" w:styleId="ListParagraph">
    <w:name w:val="List Paragraph"/>
    <w:basedOn w:val="Normal"/>
    <w:uiPriority w:val="34"/>
    <w:unhideWhenUsed/>
    <w:qFormat/>
    <w:rsid w:val="00BC0AD7"/>
    <w:pPr>
      <w:tabs>
        <w:tab w:val="decimal" w:pos="1134"/>
        <w:tab w:val="decimal" w:pos="1701"/>
        <w:tab w:val="decimal" w:pos="2268"/>
        <w:tab w:val="left" w:pos="2835"/>
        <w:tab w:val="left" w:pos="3402"/>
        <w:tab w:val="left" w:pos="3969"/>
        <w:tab w:val="left" w:pos="4536"/>
        <w:tab w:val="left" w:pos="5103"/>
      </w:tabs>
      <w:ind w:left="567" w:hanging="567"/>
    </w:pPr>
  </w:style>
  <w:style w:type="paragraph" w:customStyle="1" w:styleId="Mellemrumbrevhoved">
    <w:name w:val="Mellemrum brevhoved"/>
    <w:basedOn w:val="Normal"/>
    <w:qFormat/>
    <w:rsid w:val="00BC0AD7"/>
    <w:pPr>
      <w:spacing w:line="180" w:lineRule="exact"/>
    </w:pPr>
  </w:style>
  <w:style w:type="character" w:customStyle="1" w:styleId="apple-converted-space">
    <w:name w:val="apple-converted-space"/>
    <w:basedOn w:val="DefaultParagraphFont"/>
    <w:rsid w:val="00DE6B6D"/>
  </w:style>
  <w:style w:type="paragraph" w:styleId="TOCHeading">
    <w:name w:val="TOC Heading"/>
    <w:basedOn w:val="Heading1"/>
    <w:next w:val="Normal"/>
    <w:uiPriority w:val="39"/>
    <w:unhideWhenUsed/>
    <w:qFormat/>
    <w:rsid w:val="00237B1D"/>
    <w:pPr>
      <w:keepLines/>
      <w:tabs>
        <w:tab w:val="clear" w:pos="0"/>
        <w:tab w:val="clear" w:pos="567"/>
        <w:tab w:val="clear" w:pos="8902"/>
      </w:tabs>
      <w:spacing w:before="240" w:after="0" w:line="259" w:lineRule="auto"/>
      <w:outlineLvl w:val="9"/>
    </w:pPr>
    <w:rPr>
      <w:rFonts w:asciiTheme="majorHAnsi" w:eastAsiaTheme="majorEastAsia" w:hAnsiTheme="majorHAnsi" w:cstheme="majorBidi"/>
      <w:b w:val="0"/>
      <w:color w:val="001D58" w:themeColor="accent1" w:themeShade="BF"/>
      <w:sz w:val="32"/>
      <w:szCs w:val="32"/>
      <w:lang w:val="en-US"/>
    </w:rPr>
  </w:style>
  <w:style w:type="paragraph" w:styleId="NormalWeb">
    <w:name w:val="Normal (Web)"/>
    <w:basedOn w:val="Normal"/>
    <w:uiPriority w:val="99"/>
    <w:semiHidden/>
    <w:unhideWhenUsed/>
    <w:rsid w:val="00C94069"/>
    <w:pPr>
      <w:tabs>
        <w:tab w:val="clear" w:pos="0"/>
        <w:tab w:val="clear" w:pos="567"/>
        <w:tab w:val="clear" w:pos="8902"/>
      </w:tabs>
      <w:spacing w:before="100" w:beforeAutospacing="1" w:after="100" w:afterAutospacing="1" w:line="240" w:lineRule="auto"/>
      <w:jc w:val="left"/>
    </w:pPr>
    <w:rPr>
      <w:rFonts w:eastAsiaTheme="minorEastAsia"/>
      <w:sz w:val="24"/>
      <w:szCs w:val="24"/>
      <w:lang w:eastAsia="da-DK"/>
    </w:rPr>
  </w:style>
  <w:style w:type="paragraph" w:styleId="NoSpacing">
    <w:name w:val="No Spacing"/>
    <w:link w:val="NoSpacingChar"/>
    <w:uiPriority w:val="1"/>
    <w:qFormat/>
    <w:rsid w:val="00384C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4CD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4718">
      <w:bodyDiv w:val="1"/>
      <w:marLeft w:val="0"/>
      <w:marRight w:val="0"/>
      <w:marTop w:val="0"/>
      <w:marBottom w:val="0"/>
      <w:divBdr>
        <w:top w:val="none" w:sz="0" w:space="0" w:color="auto"/>
        <w:left w:val="none" w:sz="0" w:space="0" w:color="auto"/>
        <w:bottom w:val="none" w:sz="0" w:space="0" w:color="auto"/>
        <w:right w:val="none" w:sz="0" w:space="0" w:color="auto"/>
      </w:divBdr>
    </w:div>
    <w:div w:id="507328957">
      <w:bodyDiv w:val="1"/>
      <w:marLeft w:val="0"/>
      <w:marRight w:val="0"/>
      <w:marTop w:val="0"/>
      <w:marBottom w:val="0"/>
      <w:divBdr>
        <w:top w:val="none" w:sz="0" w:space="0" w:color="auto"/>
        <w:left w:val="none" w:sz="0" w:space="0" w:color="auto"/>
        <w:bottom w:val="none" w:sz="0" w:space="0" w:color="auto"/>
        <w:right w:val="none" w:sz="0" w:space="0" w:color="auto"/>
      </w:divBdr>
    </w:div>
    <w:div w:id="1028219695">
      <w:bodyDiv w:val="1"/>
      <w:marLeft w:val="0"/>
      <w:marRight w:val="0"/>
      <w:marTop w:val="0"/>
      <w:marBottom w:val="0"/>
      <w:divBdr>
        <w:top w:val="none" w:sz="0" w:space="0" w:color="auto"/>
        <w:left w:val="none" w:sz="0" w:space="0" w:color="auto"/>
        <w:bottom w:val="none" w:sz="0" w:space="0" w:color="auto"/>
        <w:right w:val="none" w:sz="0" w:space="0" w:color="auto"/>
      </w:divBdr>
    </w:div>
    <w:div w:id="1155997538">
      <w:bodyDiv w:val="1"/>
      <w:marLeft w:val="0"/>
      <w:marRight w:val="0"/>
      <w:marTop w:val="0"/>
      <w:marBottom w:val="0"/>
      <w:divBdr>
        <w:top w:val="none" w:sz="0" w:space="0" w:color="auto"/>
        <w:left w:val="none" w:sz="0" w:space="0" w:color="auto"/>
        <w:bottom w:val="none" w:sz="0" w:space="0" w:color="auto"/>
        <w:right w:val="none" w:sz="0" w:space="0" w:color="auto"/>
      </w:divBdr>
    </w:div>
    <w:div w:id="1222328981">
      <w:bodyDiv w:val="1"/>
      <w:marLeft w:val="0"/>
      <w:marRight w:val="0"/>
      <w:marTop w:val="0"/>
      <w:marBottom w:val="0"/>
      <w:divBdr>
        <w:top w:val="none" w:sz="0" w:space="0" w:color="auto"/>
        <w:left w:val="none" w:sz="0" w:space="0" w:color="auto"/>
        <w:bottom w:val="none" w:sz="0" w:space="0" w:color="auto"/>
        <w:right w:val="none" w:sz="0" w:space="0" w:color="auto"/>
      </w:divBdr>
    </w:div>
    <w:div w:id="1365670358">
      <w:bodyDiv w:val="1"/>
      <w:marLeft w:val="0"/>
      <w:marRight w:val="0"/>
      <w:marTop w:val="0"/>
      <w:marBottom w:val="0"/>
      <w:divBdr>
        <w:top w:val="none" w:sz="0" w:space="0" w:color="auto"/>
        <w:left w:val="none" w:sz="0" w:space="0" w:color="auto"/>
        <w:bottom w:val="none" w:sz="0" w:space="0" w:color="auto"/>
        <w:right w:val="none" w:sz="0" w:space="0" w:color="auto"/>
      </w:divBdr>
    </w:div>
    <w:div w:id="1787113707">
      <w:bodyDiv w:val="1"/>
      <w:marLeft w:val="0"/>
      <w:marRight w:val="0"/>
      <w:marTop w:val="0"/>
      <w:marBottom w:val="0"/>
      <w:divBdr>
        <w:top w:val="none" w:sz="0" w:space="0" w:color="auto"/>
        <w:left w:val="none" w:sz="0" w:space="0" w:color="auto"/>
        <w:bottom w:val="none" w:sz="0" w:space="0" w:color="auto"/>
        <w:right w:val="none" w:sz="0" w:space="0" w:color="auto"/>
      </w:divBdr>
      <w:divsChild>
        <w:div w:id="1122111815">
          <w:marLeft w:val="1166"/>
          <w:marRight w:val="0"/>
          <w:marTop w:val="134"/>
          <w:marBottom w:val="0"/>
          <w:divBdr>
            <w:top w:val="none" w:sz="0" w:space="0" w:color="auto"/>
            <w:left w:val="none" w:sz="0" w:space="0" w:color="auto"/>
            <w:bottom w:val="none" w:sz="0" w:space="0" w:color="auto"/>
            <w:right w:val="none" w:sz="0" w:space="0" w:color="auto"/>
          </w:divBdr>
        </w:div>
        <w:div w:id="1064330969">
          <w:marLeft w:val="1166"/>
          <w:marRight w:val="0"/>
          <w:marTop w:val="134"/>
          <w:marBottom w:val="0"/>
          <w:divBdr>
            <w:top w:val="none" w:sz="0" w:space="0" w:color="auto"/>
            <w:left w:val="none" w:sz="0" w:space="0" w:color="auto"/>
            <w:bottom w:val="none" w:sz="0" w:space="0" w:color="auto"/>
            <w:right w:val="none" w:sz="0" w:space="0" w:color="auto"/>
          </w:divBdr>
        </w:div>
        <w:div w:id="1693144520">
          <w:marLeft w:val="1166"/>
          <w:marRight w:val="0"/>
          <w:marTop w:val="134"/>
          <w:marBottom w:val="0"/>
          <w:divBdr>
            <w:top w:val="none" w:sz="0" w:space="0" w:color="auto"/>
            <w:left w:val="none" w:sz="0" w:space="0" w:color="auto"/>
            <w:bottom w:val="none" w:sz="0" w:space="0" w:color="auto"/>
            <w:right w:val="none" w:sz="0" w:space="0" w:color="auto"/>
          </w:divBdr>
        </w:div>
      </w:divsChild>
    </w:div>
    <w:div w:id="21254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yperlink" Target="http://voa1.systime.dk/index.php?id=813"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voa1.systime.dk/index.php?id=813" TargetMode="External"/><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voa1.systime.dk/index.php?id=8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eloitte\Office\Word\Base%20Templates\tekst.dotx" TargetMode="External"/></Relationships>
</file>

<file path=word/theme/theme1.xml><?xml version="1.0" encoding="utf-8"?>
<a:theme xmlns:a="http://schemas.openxmlformats.org/drawingml/2006/main" name="Deloitte Standard">
  <a:themeElements>
    <a:clrScheme name="Custom 99">
      <a:dk1>
        <a:sysClr val="windowText" lastClr="000000"/>
      </a:dk1>
      <a:lt1>
        <a:sysClr val="window" lastClr="FFFFFF"/>
      </a:lt1>
      <a:dk2>
        <a:srgbClr val="313131"/>
      </a:dk2>
      <a:lt2>
        <a:srgbClr val="FFFFFF"/>
      </a:lt2>
      <a:accent1>
        <a:srgbClr val="002776"/>
      </a:accent1>
      <a:accent2>
        <a:srgbClr val="81BC00"/>
      </a:accent2>
      <a:accent3>
        <a:srgbClr val="00A1DE"/>
      </a:accent3>
      <a:accent4>
        <a:srgbClr val="3C8A2E"/>
      </a:accent4>
      <a:accent5>
        <a:srgbClr val="575757"/>
      </a:accent5>
      <a:accent6>
        <a:srgbClr val="BDD203"/>
      </a:accent6>
      <a:hlink>
        <a:srgbClr val="00A1DE"/>
      </a:hlink>
      <a:folHlink>
        <a:srgbClr val="72C7E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0" tIns="0" rIns="0" bIns="0" rtlCol="0">
        <a:noAutofit/>
      </a:bodyPr>
      <a:lstStyle>
        <a:defPPr>
          <a:defRPr dirty="0" smtClean="0"/>
        </a:defPPr>
      </a:lstStyle>
    </a:txDef>
  </a:objectDefaults>
  <a:extraClrSchemeLst/>
  <a:extLst>
    <a:ext uri="{05A4C25C-085E-4340-85A3-A5531E510DB2}">
      <thm15:themeFamily xmlns:thm15="http://schemas.microsoft.com/office/thememl/2012/main" name="Deloitte Standard" id="{9AA3764F-EC65-40D1-A809-3D68B7AFA0E3}" vid="{7613784D-173C-4074-9F2C-03A54DF095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5B59-D6DB-4E0E-86FD-9A408ACD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tekst.dotx</Template>
  <TotalTime>22</TotalTime>
  <Pages>31</Pages>
  <Words>7858</Words>
  <Characters>45974</Characters>
  <Application>Microsoft Office Word</Application>
  <DocSecurity>0</DocSecurity>
  <Lines>1702</Lines>
  <Paragraphs>912</Paragraphs>
  <ScaleCrop>false</ScaleCrop>
  <HeadingPairs>
    <vt:vector size="2" baseType="variant">
      <vt:variant>
        <vt:lpstr>Title</vt:lpstr>
      </vt:variant>
      <vt:variant>
        <vt:i4>1</vt:i4>
      </vt:variant>
    </vt:vector>
  </HeadingPairs>
  <TitlesOfParts>
    <vt:vector size="1" baseType="lpstr">
      <vt:lpstr>NCC</vt:lpstr>
    </vt:vector>
  </TitlesOfParts>
  <Company>Deloitte</Company>
  <LinksUpToDate>false</LinksUpToDate>
  <CharactersWithSpaces>52920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dc:title>
  <dc:subject/>
  <dc:creator>Frederik Søegaard</dc:creator>
  <cp:keywords/>
  <dc:description/>
  <cp:lastModifiedBy>Frederik Søegaard</cp:lastModifiedBy>
  <cp:revision>12</cp:revision>
  <cp:lastPrinted>2015-02-12T20:06:00Z</cp:lastPrinted>
  <dcterms:created xsi:type="dcterms:W3CDTF">2015-02-12T19:48:00Z</dcterms:created>
  <dcterms:modified xsi:type="dcterms:W3CDTF">2015-02-24T11:12:00Z</dcterms:modified>
</cp:coreProperties>
</file>