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8"/>
          <w:szCs w:val="28"/>
          <w:lang w:eastAsia="da-DK"/>
        </w:rPr>
        <w:t xml:space="preserve">Kommentarer til rentabiliteten: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Afkastningsgraden (AG):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Afkastningsgraden i Carlsberg ligger i 2014 på 6,9% hvilket er et tilfredsstillende niveau sammenlignet </w:t>
      </w:r>
      <w:r>
        <w:rPr>
          <w:rFonts w:ascii="Arial" w:eastAsia="Times New Roman" w:hAnsi="Arial" w:cs="Arial"/>
          <w:sz w:val="24"/>
          <w:szCs w:val="24"/>
          <w:lang w:eastAsia="da-DK"/>
        </w:rPr>
        <w:t>med afkastningsgraden for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andre danske virksomheder* som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ligger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på 5,4%. </w:t>
      </w:r>
      <w:r>
        <w:rPr>
          <w:rFonts w:ascii="Arial" w:eastAsia="Times New Roman" w:hAnsi="Arial" w:cs="Arial"/>
          <w:sz w:val="24"/>
          <w:szCs w:val="24"/>
          <w:lang w:eastAsia="da-DK"/>
        </w:rPr>
        <w:t>Afkastningsgraden er i perioden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faldet med 32%. Udviklingen skyldes primært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et fald i overskudsgraden på 2,2%</w:t>
      </w:r>
      <w:r w:rsidRPr="001E06E9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Sammenlignet med den risikofri rente på en dansk 10 årig statsobligation som ligger på </w:t>
      </w:r>
      <w:r>
        <w:rPr>
          <w:rFonts w:ascii="Arial" w:eastAsia="Times New Roman" w:hAnsi="Arial" w:cs="Arial"/>
          <w:sz w:val="24"/>
          <w:szCs w:val="24"/>
          <w:lang w:eastAsia="da-DK"/>
        </w:rPr>
        <w:t>1,8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% er der et risikotillæg på </w:t>
      </w:r>
      <w:r>
        <w:rPr>
          <w:rFonts w:ascii="Arial" w:eastAsia="Times New Roman" w:hAnsi="Arial" w:cs="Arial"/>
          <w:sz w:val="24"/>
          <w:szCs w:val="24"/>
          <w:lang w:eastAsia="da-DK"/>
        </w:rPr>
        <w:t>5,2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%</w:t>
      </w:r>
      <w:r>
        <w:rPr>
          <w:rFonts w:ascii="Arial" w:eastAsia="Times New Roman" w:hAnsi="Arial" w:cs="Arial"/>
          <w:sz w:val="24"/>
          <w:szCs w:val="24"/>
          <w:lang w:eastAsia="da-DK"/>
        </w:rPr>
        <w:t>. K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ravet om at forrente den investerede kapital til markedsrenten, må dermed ses som opfyldt.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Overskudsgraden (OG):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Overskudsgraden er "hovednøgletal" for indtjeningsevnen. Niveauet for overskudsgraden ligger i </w:t>
      </w:r>
      <w:r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014 på 15,6% dvs. Carlsberg tjener 15,6 kr. i resultat før renter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pr. 100 kroners </w:t>
      </w:r>
      <w:r>
        <w:rPr>
          <w:rFonts w:ascii="Arial" w:eastAsia="Times New Roman" w:hAnsi="Arial" w:cs="Arial"/>
          <w:sz w:val="24"/>
          <w:szCs w:val="24"/>
          <w:lang w:eastAsia="da-DK"/>
        </w:rPr>
        <w:t>netto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omsætning.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Ved benchmarking med andre danske virksomheder* bør overskudsgraden ligge på 6,0%. Niveauet er dermed tilfredsstillende.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Udviklingen i overskudsgraden er negativ med et fald på 2,2%.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Aktivernes omsætningshastighed (AOH):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Carlsberg omsætter i 2014 sine aktiver 0,45 gange Niveauet bør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ligge på 0,89 gange if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>ølge andre danske virksomheder*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. Niveauet må derfor betegnes som utilfredsstillende.  AOH har i perioden udviklet sig positivt hvilket har bidraget til at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forbedre den samlede rentabilitet (AG). I alt er stigningen i AOH på 0,1% i perioden.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Egenkapitalens forrentning (EKF), gældsrenten, gearing og soliditet: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Niveauet for EKF ligger på 12,7% sammenlignet med andre danske virksomheder* som i gennemsnit ligger på 9,6% er dette tilfredsstillende.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Gældsrenten ligger i 2014 på 2,5%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hvilket er under afkastningsgraden dvs. Carlsberg tjener på fremmedkapitalen.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Rentemarginalen (AG - gældsrenten) er på ca. 4,5%.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Carlsberg har gearet deres egenkapital   1,3 gange i 2014.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Soliditeten er på 44%. Dette ligger over normtallet for andre danske virksomheder*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som ligger på ca.  33%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Da egenkapitalens forrentning på 12,7% kan udregnes som 6,9% +(4,5% * 1,3 gange) (Formel = AG + (rentemarginal*gearing)) fremgår det klart, at når rentemarginalen er positiv, tjenes der penge på gearingen. Reglen må derfor være at jo større gearing jo højere forrentning af egenkapitalen.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Det bedes bemærket, at hvis gearingen forøges, stiger den finansielle risiko og kreditværdigheden forringes.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Årsagen til stigningen i forrentningen af egenkapitalen i Carlsberg fra 11,0% til 12,7%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skyldes primært stigningen i gearingen på 19%</w:t>
      </w:r>
      <w:r w:rsidRPr="001E06E9">
        <w:rPr>
          <w:rFonts w:ascii="Arial" w:eastAsia="Times New Roman" w:hAnsi="Arial" w:cs="Arial"/>
          <w:sz w:val="20"/>
          <w:szCs w:val="20"/>
          <w:lang w:eastAsia="da-DK"/>
        </w:rPr>
        <w:t xml:space="preserve">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Indtjeningsevnen: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Overskudsgraden er i perioden faldet fra 15,9% til 15,6%</w:t>
      </w:r>
      <w:r w:rsidRPr="001E06E9">
        <w:rPr>
          <w:rFonts w:ascii="Arial" w:eastAsia="Times New Roman" w:hAnsi="Arial" w:cs="Arial"/>
          <w:sz w:val="20"/>
          <w:szCs w:val="20"/>
          <w:lang w:eastAsia="da-DK"/>
        </w:rPr>
        <w:t xml:space="preserve">.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Omsætningen/salget er faldet med 4% i perioden.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Produktionsomkostninger er steget med 3% i perioden. Dette bevirker at Bruttoavanceprocenten er faldet fra 50% til 49% hvilket medfører at de variable omkostninger påvirker indtjeningsevnen i negativ retning.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:rsidR="000B35AE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Nulpunktsomsætningen er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faldet og ligger nu på kr. 45.771.838.709. Sikkerhedsmargen er på 29% dvs. hvis omsætningen falder med 29% har Carlsberg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"nul i overskud/resultat før renter." </w:t>
      </w:r>
      <w:r w:rsidR="006C2062">
        <w:rPr>
          <w:rFonts w:ascii="Arial" w:eastAsia="Times New Roman" w:hAnsi="Arial" w:cs="Arial"/>
          <w:sz w:val="24"/>
          <w:szCs w:val="24"/>
          <w:lang w:eastAsia="da-DK"/>
        </w:rPr>
        <w:t xml:space="preserve"> Bruttofortjenesten er faldet samlet med 1.529.000.000 over de 3 år.</w:t>
      </w:r>
    </w:p>
    <w:p w:rsidR="000B35AE" w:rsidRDefault="000B35AE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0B35AE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0B35AE">
        <w:rPr>
          <w:rFonts w:ascii="Arial" w:eastAsia="Times New Roman" w:hAnsi="Arial" w:cs="Arial"/>
          <w:b/>
          <w:sz w:val="24"/>
          <w:szCs w:val="24"/>
          <w:lang w:eastAsia="da-DK"/>
        </w:rPr>
        <w:lastRenderedPageBreak/>
        <w:t xml:space="preserve">Kommentarer til de faste omkostninger:        </w:t>
      </w:r>
      <w:r w:rsidRPr="000B35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Salgs og distributionsomkostninge</w:t>
      </w:r>
      <w:r w:rsidR="000B35AE">
        <w:rPr>
          <w:rFonts w:ascii="Arial" w:eastAsia="Times New Roman" w:hAnsi="Arial" w:cs="Arial"/>
          <w:sz w:val="24"/>
          <w:szCs w:val="24"/>
          <w:lang w:eastAsia="da-DK"/>
        </w:rPr>
        <w:t xml:space="preserve">r er faldet med 5% hvilket har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forbedret indtjeningen.</w:t>
      </w:r>
    </w:p>
    <w:p w:rsidR="001E06E9" w:rsidRPr="001E06E9" w:rsidRDefault="000B35AE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</w:t>
      </w:r>
      <w:r w:rsidR="001E06E9"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dministrationsomkostninger er steget med 11% hvilket har </w:t>
      </w:r>
      <w:r w:rsidR="006C2062">
        <w:rPr>
          <w:rFonts w:ascii="Arial" w:eastAsia="Times New Roman" w:hAnsi="Arial" w:cs="Arial"/>
          <w:sz w:val="24"/>
          <w:szCs w:val="24"/>
          <w:lang w:eastAsia="da-DK"/>
        </w:rPr>
        <w:t>forringet indtjeningen med ca. 448.000.000, den største stigning i de faste omkostninger, så det bør Carlsberg have fokus på.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Kapitaltilpasningen: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"Hovednøgletallet" for kapitaltilpasningen er AOH. AOH er i perioden steget med 0,1%.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Niveauet ligger på 0,4 gange. Hvilket må betegnes som utilfredsstillende.</w:t>
      </w:r>
      <w:r w:rsidR="009E0E0F">
        <w:rPr>
          <w:rFonts w:ascii="Arial" w:eastAsia="Times New Roman" w:hAnsi="Arial" w:cs="Arial"/>
          <w:sz w:val="24"/>
          <w:szCs w:val="24"/>
          <w:lang w:eastAsia="da-DK"/>
        </w:rPr>
        <w:t xml:space="preserve"> Carlsberg bø</w:t>
      </w:r>
      <w:r w:rsidR="00EF27B7">
        <w:rPr>
          <w:rFonts w:ascii="Arial" w:eastAsia="Times New Roman" w:hAnsi="Arial" w:cs="Arial"/>
          <w:sz w:val="24"/>
          <w:szCs w:val="24"/>
          <w:lang w:eastAsia="da-DK"/>
        </w:rPr>
        <w:t xml:space="preserve">r øge deres effektivitet ved enten at </w:t>
      </w:r>
      <w:r w:rsidR="009E0E0F">
        <w:rPr>
          <w:rFonts w:ascii="Arial" w:eastAsia="Times New Roman" w:hAnsi="Arial" w:cs="Arial"/>
          <w:sz w:val="24"/>
          <w:szCs w:val="24"/>
          <w:lang w:eastAsia="da-DK"/>
        </w:rPr>
        <w:t xml:space="preserve">minimere aktiverne </w:t>
      </w:r>
      <w:r w:rsidR="00EF27B7">
        <w:rPr>
          <w:rFonts w:ascii="Arial" w:eastAsia="Times New Roman" w:hAnsi="Arial" w:cs="Arial"/>
          <w:sz w:val="24"/>
          <w:szCs w:val="24"/>
          <w:lang w:eastAsia="da-DK"/>
        </w:rPr>
        <w:t xml:space="preserve">eller </w:t>
      </w:r>
      <w:r w:rsidR="009E0E0F">
        <w:rPr>
          <w:rFonts w:ascii="Arial" w:eastAsia="Times New Roman" w:hAnsi="Arial" w:cs="Arial"/>
          <w:sz w:val="24"/>
          <w:szCs w:val="24"/>
          <w:lang w:eastAsia="da-DK"/>
        </w:rPr>
        <w:t xml:space="preserve">få omsætningen </w:t>
      </w:r>
      <w:r w:rsidR="00EF27B7">
        <w:rPr>
          <w:rFonts w:ascii="Arial" w:eastAsia="Times New Roman" w:hAnsi="Arial" w:cs="Arial"/>
          <w:sz w:val="24"/>
          <w:szCs w:val="24"/>
          <w:lang w:eastAsia="da-DK"/>
        </w:rPr>
        <w:t>til at stige</w:t>
      </w:r>
      <w:bookmarkStart w:id="0" w:name="_GoBack"/>
      <w:bookmarkEnd w:id="0"/>
      <w:r w:rsidR="009E0E0F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u w:val="single"/>
          <w:lang w:eastAsia="da-DK"/>
        </w:rPr>
        <w:t xml:space="preserve">Varelagerets omsætningshastighed (VLOH):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VLOH er faldet fra 7,6 gange til 7,2 gange</w:t>
      </w:r>
      <w:r w:rsidR="006C2062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Det vil sige at varerne ligger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længere tid på lager. Lagerdagene er steget og ligger nu på 50 dage.</w:t>
      </w:r>
      <w:r w:rsidR="00AE626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6C2062">
        <w:rPr>
          <w:rFonts w:ascii="Arial" w:eastAsia="Times New Roman" w:hAnsi="Arial" w:cs="Arial"/>
          <w:sz w:val="24"/>
          <w:szCs w:val="24"/>
          <w:lang w:eastAsia="da-DK"/>
        </w:rPr>
        <w:t>Carlsberg’s</w:t>
      </w:r>
      <w:proofErr w:type="spellEnd"/>
      <w:r w:rsidR="00AE6262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vareforbrug er 3% mindre</w:t>
      </w:r>
      <w:r w:rsidR="006C2062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samtidig er lageret blevet 3% større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Dette har forringet lageromsætningshastigheden og dermed AOH og likviditeten alt andet lige.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u w:val="single"/>
          <w:lang w:eastAsia="da-DK"/>
        </w:rPr>
        <w:t xml:space="preserve">Varedebitorernes omsætningshastighed (VDOH):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Kredittiden til kunderne er 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faldet fra 134 dage til 130 dage. Dette har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forbedret likviditeten samt aktivernes omsætningshastighed.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u w:val="single"/>
          <w:lang w:eastAsia="da-DK"/>
        </w:rPr>
        <w:t xml:space="preserve">Varekreditorernes omsætningshastighed (VKOH):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Kre</w:t>
      </w:r>
      <w:r w:rsidR="00F15A8A">
        <w:rPr>
          <w:rFonts w:ascii="Arial" w:eastAsia="Times New Roman" w:hAnsi="Arial" w:cs="Arial"/>
          <w:sz w:val="24"/>
          <w:szCs w:val="24"/>
          <w:lang w:eastAsia="da-DK"/>
        </w:rPr>
        <w:t>dittiden fra leverandørerne er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steget fra 97 dage til 109 dage.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Alt andet lige har dette medført at likviditeten og aktivernes omsætningshastighed er 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steget.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u w:val="single"/>
          <w:lang w:eastAsia="da-DK"/>
        </w:rPr>
        <w:t xml:space="preserve">Likviditeten: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Likviditetsgrad II er forringet gennem perioden og ligger nu på 66. Niveauet er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utilfredsstillende.  Likviditetsgraden bør ligge på ca. 100 - 150.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Konklusionen: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Rentabiliteten har i perioden udviklet sig negativt idet AG er faldet med 32%.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Udviklingen skyldes primært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et fald </w:t>
      </w:r>
      <w:r w:rsidRPr="001E06E9">
        <w:rPr>
          <w:rFonts w:ascii="Arial" w:eastAsia="Times New Roman" w:hAnsi="Arial" w:cs="Arial"/>
          <w:sz w:val="20"/>
          <w:szCs w:val="20"/>
          <w:lang w:eastAsia="da-DK"/>
        </w:rPr>
        <w:t xml:space="preserve">i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indtjeningsevnen.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Niveauet for rentabiliteten er tilfredsstillende 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 xml:space="preserve">sammenlignet med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andre danske virksomheder* Niveauet for indtjeningsevnen er tilfredsstillende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 xml:space="preserve"> sammenlignet med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andre danske virksomheder*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Niveauet for kapitaltilpasningen er utilfredsstillende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 xml:space="preserve"> sammenlignet med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andre danske virksomheder*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Niveauet for egenkapitalens forrentning er 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tilfredsstillende.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Carlsberg tjener penge på fremmedkapitalen, idet gældsrenten ligger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under afkastningsgraden</w:t>
      </w:r>
      <w:r w:rsidR="00FE2D3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Børsrelaterede nøgletal: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691DF0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EPS,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Earnings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Per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="001E06E9" w:rsidRPr="001E06E9">
        <w:rPr>
          <w:rFonts w:ascii="Arial" w:eastAsia="Times New Roman" w:hAnsi="Arial" w:cs="Arial"/>
          <w:sz w:val="24"/>
          <w:szCs w:val="24"/>
          <w:lang w:eastAsia="da-DK"/>
        </w:rPr>
        <w:t>hare</w:t>
      </w:r>
      <w:proofErr w:type="spellEnd"/>
      <w:r w:rsidR="001E06E9"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er i analyse perioden faldet med 21% fra kr. 41 pr aktie til kr. 32  </w:t>
      </w:r>
      <w:r w:rsidR="001E06E9"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:rsidR="001E06E9" w:rsidRPr="001E06E9" w:rsidRDefault="00691DF0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At</w:t>
      </w:r>
      <w:r w:rsidR="001E06E9"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niveauet for EPS er faldet</w:t>
      </w:r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1E06E9"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er selvfølgeligt negativt for aktionærerne alt andet lige.  </w:t>
      </w:r>
      <w:r w:rsidR="001E06E9"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P/E viser hvad man som aktionær betaler for 1 kr. overskud.  I 2014 betaler aktionærerne i Carlsberg 14,8 kr. for 1 kr. i overskud</w:t>
      </w:r>
      <w:r w:rsidR="007D43A6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Jo højere denne værdi er, jo mindre er aktionærens forrentning. Hvis denne P/E fortsatte for altid ville forrentningen af den uendelige annuitet være 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lastRenderedPageBreak/>
        <w:t>6,8% (</w:t>
      </w:r>
      <w:r w:rsidR="007D43A6">
        <w:rPr>
          <w:rFonts w:ascii="Arial" w:eastAsia="Times New Roman" w:hAnsi="Arial" w:cs="Arial"/>
          <w:sz w:val="24"/>
          <w:szCs w:val="24"/>
          <w:lang w:eastAsia="da-DK"/>
        </w:rPr>
        <w:t>(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1 /14,</w:t>
      </w:r>
      <w:proofErr w:type="gramStart"/>
      <w:r w:rsidRPr="001E06E9">
        <w:rPr>
          <w:rFonts w:ascii="Arial" w:eastAsia="Times New Roman" w:hAnsi="Arial" w:cs="Arial"/>
          <w:sz w:val="24"/>
          <w:szCs w:val="24"/>
          <w:lang w:eastAsia="da-DK"/>
        </w:rPr>
        <w:t>8)*</w:t>
      </w:r>
      <w:proofErr w:type="gramEnd"/>
      <w:r w:rsidRPr="001E06E9">
        <w:rPr>
          <w:rFonts w:ascii="Arial" w:eastAsia="Times New Roman" w:hAnsi="Arial" w:cs="Arial"/>
          <w:sz w:val="24"/>
          <w:szCs w:val="24"/>
          <w:lang w:eastAsia="da-DK"/>
        </w:rPr>
        <w:t>100</w:t>
      </w:r>
      <w:r w:rsidR="007D43A6">
        <w:rPr>
          <w:rFonts w:ascii="Arial" w:eastAsia="Times New Roman" w:hAnsi="Arial" w:cs="Arial"/>
          <w:sz w:val="24"/>
          <w:szCs w:val="24"/>
          <w:lang w:eastAsia="da-DK"/>
        </w:rPr>
        <w:t>).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Dette er utilfredsstillende sammenlignet med risikoen på Carlsberg aktien. Forrentningen skal ud fra risikoen (betaværdien) og forrentningen på OMX C20 ligge på 8,9%.</w:t>
      </w:r>
      <w:r w:rsidR="007D43A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Hvis man måler på PEG-ratio er P/E forholdet dårligere idet Carlsberg ikke har haft vækst i indtjeningen fra 2013 til 2014 faktisk er indtjeningen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faldet med 17% fra 2013 til 2014.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Børskursen er i analyse perioden samlet set faldet med 13,7%</w:t>
      </w:r>
      <w:r w:rsidR="007D43A6">
        <w:rPr>
          <w:rFonts w:ascii="Arial" w:eastAsia="Times New Roman" w:hAnsi="Arial" w:cs="Arial"/>
          <w:sz w:val="24"/>
          <w:szCs w:val="24"/>
          <w:lang w:eastAsia="da-DK"/>
        </w:rPr>
        <w:t>. F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ra 2013 til 2014 er børskursen faldet med 20,3%.</w:t>
      </w:r>
      <w:r w:rsidR="007D43A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Den årlige forrentning på en aktie i Carlsberg fra 2011 til 2014 ligger på 7,46% </w:t>
      </w:r>
      <w:proofErr w:type="spellStart"/>
      <w:r w:rsidRPr="001E06E9">
        <w:rPr>
          <w:rFonts w:ascii="Arial" w:eastAsia="Times New Roman" w:hAnsi="Arial" w:cs="Arial"/>
          <w:sz w:val="24"/>
          <w:szCs w:val="24"/>
          <w:lang w:eastAsia="da-DK"/>
        </w:rPr>
        <w:t>incl</w:t>
      </w:r>
      <w:proofErr w:type="spellEnd"/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. udbytte udbetalinger.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Da betaværdien for Carlsberg ligger på 0,99 burde den årlige forrentning 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 xml:space="preserve">på Carlsbergs aktie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ligge på 8,9%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Forrentningen ligger dermed under kravet til forrentning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, risikoen taget i betragtning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Den indre værdi eller den regnskabsmæssige værdi ligger i   2014 på kr. 367 det vil sige at der ifølge regnskabet er en værdi pr. aktie på kr. 367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Den regnskabsmæssige værdi ligger under børskursen, som er på 478 Dvs.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>K/I forholdet er over 1 nemlig 1,3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 En K/I på 1,3 viser at aktionærerne betaler </w:t>
      </w:r>
    </w:p>
    <w:p w:rsidR="001E06E9" w:rsidRPr="00E162B6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>30,2% over den regnskabsmæssige værdi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 xml:space="preserve"> for aktien når den købes til markedsværdi.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1E06E9">
        <w:rPr>
          <w:rFonts w:ascii="Arial" w:eastAsia="Times New Roman" w:hAnsi="Arial" w:cs="Arial"/>
          <w:sz w:val="24"/>
          <w:szCs w:val="24"/>
          <w:lang w:eastAsia="da-DK"/>
        </w:rPr>
        <w:t>Carlsberg's</w:t>
      </w:r>
      <w:proofErr w:type="spellEnd"/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rentedækning ligger på 5,03 i 2014 Dvs. at EBIT </w:t>
      </w:r>
      <w:proofErr w:type="spellStart"/>
      <w:r w:rsidRPr="001E06E9">
        <w:rPr>
          <w:rFonts w:ascii="Arial" w:eastAsia="Times New Roman" w:hAnsi="Arial" w:cs="Arial"/>
          <w:sz w:val="24"/>
          <w:szCs w:val="24"/>
          <w:lang w:eastAsia="da-DK"/>
        </w:rPr>
        <w:t>incl</w:t>
      </w:r>
      <w:proofErr w:type="spellEnd"/>
      <w:r w:rsidRPr="001E06E9">
        <w:rPr>
          <w:rFonts w:ascii="Arial" w:eastAsia="Times New Roman" w:hAnsi="Arial" w:cs="Arial"/>
          <w:sz w:val="24"/>
          <w:szCs w:val="24"/>
          <w:lang w:eastAsia="da-DK"/>
        </w:rPr>
        <w:t>. Finansielle indtægter er 5,03 gange større end de finansielle omkostninger og at der er overskud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E162B6" w:rsidRDefault="001E06E9" w:rsidP="001E0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Det </w:t>
      </w:r>
      <w:proofErr w:type="spellStart"/>
      <w:r w:rsidRPr="001E06E9">
        <w:rPr>
          <w:rFonts w:ascii="Arial" w:eastAsia="Times New Roman" w:hAnsi="Arial" w:cs="Arial"/>
          <w:sz w:val="24"/>
          <w:szCs w:val="24"/>
          <w:lang w:eastAsia="da-DK"/>
        </w:rPr>
        <w:t>Free</w:t>
      </w:r>
      <w:proofErr w:type="spellEnd"/>
      <w:r w:rsidR="00E162B6">
        <w:rPr>
          <w:rFonts w:ascii="Arial" w:eastAsia="Times New Roman" w:hAnsi="Arial" w:cs="Arial"/>
          <w:sz w:val="24"/>
          <w:szCs w:val="24"/>
          <w:lang w:eastAsia="da-DK"/>
        </w:rPr>
        <w:t xml:space="preserve"> Cash Flow er i analyseperioden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faldet med 89% og ligger i 2014 på </w:t>
      </w:r>
      <w:r w:rsidR="00AE6262">
        <w:rPr>
          <w:rFonts w:ascii="Arial" w:eastAsia="Times New Roman" w:hAnsi="Arial" w:cs="Arial"/>
          <w:sz w:val="24"/>
          <w:szCs w:val="24"/>
          <w:lang w:eastAsia="da-DK"/>
        </w:rPr>
        <w:t>kr.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        670.000.000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I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201</w:t>
      </w:r>
      <w:r w:rsidR="00AE6262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lå det </w:t>
      </w:r>
      <w:proofErr w:type="spellStart"/>
      <w:r w:rsidRPr="001E06E9">
        <w:rPr>
          <w:rFonts w:ascii="Arial" w:eastAsia="Times New Roman" w:hAnsi="Arial" w:cs="Arial"/>
          <w:sz w:val="24"/>
          <w:szCs w:val="24"/>
          <w:lang w:eastAsia="da-DK"/>
        </w:rPr>
        <w:t>Free</w:t>
      </w:r>
      <w:proofErr w:type="spellEnd"/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Cash Flow på </w:t>
      </w:r>
      <w:r w:rsidR="00AE6262">
        <w:rPr>
          <w:rFonts w:ascii="Arial" w:eastAsia="Times New Roman" w:hAnsi="Arial" w:cs="Arial"/>
          <w:sz w:val="24"/>
          <w:szCs w:val="24"/>
          <w:lang w:eastAsia="da-DK"/>
        </w:rPr>
        <w:t xml:space="preserve">kr. </w:t>
      </w:r>
      <w:r w:rsidR="00E162B6">
        <w:rPr>
          <w:rFonts w:ascii="Arial" w:eastAsia="Times New Roman" w:hAnsi="Arial" w:cs="Arial"/>
          <w:sz w:val="24"/>
          <w:szCs w:val="24"/>
          <w:lang w:eastAsia="da-DK"/>
        </w:rPr>
        <w:t>5.897.000.000</w:t>
      </w:r>
      <w:r w:rsidR="00AE6262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* Kilde: Beregninger fra Børsen top 1000. Gennemsnit af de 100 største virksomheder i Danmark målt på omsætning.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hyperlink r:id="rId5" w:history="1">
        <w:r w:rsidRPr="001E06E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a-DK"/>
          </w:rPr>
          <w:t>http://borsen.dk/vaerktoejer/top1000-listen.html</w:t>
        </w:r>
      </w:hyperlink>
      <w:r w:rsidRPr="001E06E9">
        <w:rPr>
          <w:rFonts w:ascii="Arial" w:eastAsia="Times New Roman" w:hAnsi="Arial" w:cs="Arial"/>
          <w:color w:val="0000FF"/>
          <w:sz w:val="20"/>
          <w:szCs w:val="20"/>
          <w:u w:val="single"/>
          <w:lang w:eastAsia="da-DK"/>
        </w:rPr>
        <w:t xml:space="preserve">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**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</w:t>
      </w:r>
    </w:p>
    <w:p w:rsidR="001E06E9" w:rsidRPr="001E06E9" w:rsidRDefault="001E06E9" w:rsidP="001E0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E06E9">
        <w:rPr>
          <w:rFonts w:ascii="Arial" w:eastAsia="Times New Roman" w:hAnsi="Arial" w:cs="Arial"/>
          <w:sz w:val="24"/>
          <w:szCs w:val="24"/>
          <w:lang w:eastAsia="da-DK"/>
        </w:rPr>
        <w:t xml:space="preserve">http://www.nasdaqomxnordic.com/aktier/microsite?Instrument=CSE1158&amp;name=Novo%20Nordisk%20B  </w:t>
      </w:r>
      <w:r w:rsidRPr="001E06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</w:t>
      </w:r>
    </w:p>
    <w:p w:rsidR="00BC0EB7" w:rsidRDefault="00BC0EB7"/>
    <w:sectPr w:rsidR="00BC0E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9"/>
    <w:rsid w:val="000B35AE"/>
    <w:rsid w:val="001E06E9"/>
    <w:rsid w:val="00691DF0"/>
    <w:rsid w:val="006C2062"/>
    <w:rsid w:val="007D43A6"/>
    <w:rsid w:val="009E0E0F"/>
    <w:rsid w:val="00AE6262"/>
    <w:rsid w:val="00BC0EB7"/>
    <w:rsid w:val="00E162B6"/>
    <w:rsid w:val="00EF27B7"/>
    <w:rsid w:val="00F15A8A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394E"/>
  <w15:chartTrackingRefBased/>
  <w15:docId w15:val="{AB2A7514-4122-403A-BFFA-8885BD7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orsen.dk/vaerktoejer/top1000-list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C9A6-3038-4349-AA96-70B066F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1118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Handelsskole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Brygger</dc:creator>
  <cp:keywords/>
  <dc:description/>
  <cp:lastModifiedBy>Jesper Brygger</cp:lastModifiedBy>
  <cp:revision>4</cp:revision>
  <dcterms:created xsi:type="dcterms:W3CDTF">2016-02-15T09:06:00Z</dcterms:created>
  <dcterms:modified xsi:type="dcterms:W3CDTF">2016-02-15T11:01:00Z</dcterms:modified>
</cp:coreProperties>
</file>