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32"/>
          <w:szCs w:val="32"/>
          <w:lang w:eastAsia="da-DK"/>
        </w:rPr>
        <w:t xml:space="preserve">Kommentarer til rentabiliteten: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Afkastningsgraden (AG):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0"/>
          <w:szCs w:val="20"/>
          <w:lang w:eastAsia="da-DK"/>
        </w:rPr>
      </w:pPr>
      <w:r w:rsidRPr="004544CB">
        <w:rPr>
          <w:rFonts w:ascii="Arial" w:eastAsia="Times New Roman" w:hAnsi="Arial" w:cs="Arial"/>
          <w:sz w:val="24"/>
          <w:szCs w:val="24"/>
          <w:lang w:eastAsia="da-DK"/>
        </w:rPr>
        <w:t>Afkastningsgraden i Linak A/S ligger i 2016 på 32,1% hvilket er et tilfredsstillende niveau sammenlignet</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med afkastningsgraden for andre danske virksomheder* som ligger på</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8,1%. Afkastningsgraden er i perioden steget med</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29%. Udviklingen skyldes primært</w:t>
      </w:r>
      <w:r w:rsidRPr="004544CB">
        <w:rPr>
          <w:rFonts w:ascii="Times New Roman" w:eastAsia="Times New Roman" w:hAnsi="Times New Roman" w:cs="Times New Roman"/>
          <w:sz w:val="20"/>
          <w:szCs w:val="20"/>
          <w:lang w:eastAsia="da-DK"/>
        </w:rPr>
        <w:t xml:space="preserve"> </w:t>
      </w:r>
      <w:r w:rsidRPr="004544CB">
        <w:rPr>
          <w:rFonts w:ascii="Arial" w:eastAsia="Times New Roman" w:hAnsi="Arial" w:cs="Arial"/>
          <w:sz w:val="24"/>
          <w:szCs w:val="24"/>
          <w:lang w:eastAsia="da-DK"/>
        </w:rPr>
        <w:t>en stigning i overskudsgraden på 29,6%</w:t>
      </w:r>
      <w:r w:rsidRPr="004544CB">
        <w:rPr>
          <w:rFonts w:ascii="Arial" w:eastAsia="Times New Roman" w:hAnsi="Arial" w:cs="Arial"/>
          <w:sz w:val="20"/>
          <w:szCs w:val="20"/>
          <w:lang w:eastAsia="da-DK"/>
        </w:rPr>
        <w:t>.</w:t>
      </w:r>
      <w:r w:rsidR="004355C5">
        <w:rPr>
          <w:rFonts w:ascii="Arial" w:eastAsia="Times New Roman" w:hAnsi="Arial" w:cs="Arial"/>
          <w:sz w:val="20"/>
          <w:szCs w:val="20"/>
          <w:lang w:eastAsia="da-DK"/>
        </w:rPr>
        <w:t xml:space="preserve"> (AG = OG *AOH)</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Sammenlignet med den risikofri rente</w:t>
      </w:r>
      <w:r w:rsidR="00796D05">
        <w:rPr>
          <w:rFonts w:ascii="Arial" w:eastAsia="Times New Roman" w:hAnsi="Arial" w:cs="Arial"/>
          <w:sz w:val="24"/>
          <w:szCs w:val="24"/>
          <w:lang w:eastAsia="da-DK"/>
        </w:rPr>
        <w:t xml:space="preserve"> (markedsrenten)</w:t>
      </w:r>
      <w:r w:rsidRPr="004544CB">
        <w:rPr>
          <w:rFonts w:ascii="Arial" w:eastAsia="Times New Roman" w:hAnsi="Arial" w:cs="Arial"/>
          <w:sz w:val="24"/>
          <w:szCs w:val="24"/>
          <w:lang w:eastAsia="da-DK"/>
        </w:rPr>
        <w:t xml:space="preserve"> på en dansk 10 årig statsobligation som ligger på 1,6% er der et risikotillæg på 30,5%.</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Kravet om at forrente den investerede kapital til markedsrenten</w:t>
      </w:r>
      <w:r w:rsidR="004E782C">
        <w:rPr>
          <w:rFonts w:ascii="Arial" w:eastAsia="Times New Roman" w:hAnsi="Arial" w:cs="Arial"/>
          <w:sz w:val="24"/>
          <w:szCs w:val="24"/>
          <w:lang w:eastAsia="da-DK"/>
        </w:rPr>
        <w:t xml:space="preserve"> plus risikotillæg</w:t>
      </w:r>
      <w:r w:rsidRPr="004544CB">
        <w:rPr>
          <w:rFonts w:ascii="Arial" w:eastAsia="Times New Roman" w:hAnsi="Arial" w:cs="Arial"/>
          <w:sz w:val="24"/>
          <w:szCs w:val="24"/>
          <w:lang w:eastAsia="da-DK"/>
        </w:rPr>
        <w:t xml:space="preserve">, må dermed ses som opfyldt.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Overskudsgraden (OG):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Overskudsgraden er "hovednøgletal" for indtjeningsevnen. Niveauet for overskudsgraden ligger i 2016 på 21,0% dvs. Linak A/S tjener 21,0 kr. i resultat før renter</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pr. 100 kroners nettoomsætning.</w:t>
      </w:r>
      <w:r w:rsidRPr="004544CB">
        <w:rPr>
          <w:rFonts w:ascii="Times New Roman" w:eastAsia="Times New Roman" w:hAnsi="Times New Roman" w:cs="Times New Roman"/>
          <w:sz w:val="20"/>
          <w:szCs w:val="20"/>
          <w:lang w:eastAsia="da-DK"/>
        </w:rPr>
        <w:t xml:space="preserve"> </w:t>
      </w:r>
      <w:r w:rsidRPr="004544CB">
        <w:rPr>
          <w:rFonts w:ascii="Arial" w:eastAsia="Times New Roman" w:hAnsi="Arial" w:cs="Arial"/>
          <w:sz w:val="24"/>
          <w:szCs w:val="24"/>
          <w:lang w:eastAsia="da-DK"/>
        </w:rPr>
        <w:t>Ved benchmarking med andre danske virksomheder* bør</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overskudsgraden ligge på 7,1%. Niveauet er dermed tilfredsstillende.</w:t>
      </w:r>
      <w:r w:rsidR="004E782C">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Udviklingen i overskudsgraden er positiv med en stigning på 29,6%</w:t>
      </w:r>
      <w:r w:rsidR="004E782C">
        <w:rPr>
          <w:rFonts w:ascii="Arial" w:eastAsia="Times New Roman" w:hAnsi="Arial" w:cs="Arial"/>
          <w:sz w:val="24"/>
          <w:szCs w:val="24"/>
          <w:lang w:eastAsia="da-DK"/>
        </w:rPr>
        <w:t xml:space="preserve"> og dermed også tilfredsstillende</w:t>
      </w:r>
      <w:r w:rsidRPr="004544CB">
        <w:rPr>
          <w:rFonts w:ascii="Arial" w:eastAsia="Times New Roman" w:hAnsi="Arial" w:cs="Arial"/>
          <w:sz w:val="24"/>
          <w:szCs w:val="24"/>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Aktivernes omsætningshastighed (AOH):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Linak A/S omsætter i 2016 sine aktiver 1,53 gange</w:t>
      </w:r>
      <w:r w:rsidR="004E782C">
        <w:rPr>
          <w:rFonts w:ascii="Arial" w:eastAsia="Times New Roman" w:hAnsi="Arial" w:cs="Arial"/>
          <w:sz w:val="24"/>
          <w:szCs w:val="24"/>
          <w:lang w:eastAsia="da-DK"/>
        </w:rPr>
        <w:t>.</w:t>
      </w:r>
      <w:r w:rsidRPr="004544CB">
        <w:rPr>
          <w:rFonts w:ascii="Arial" w:eastAsia="Times New Roman" w:hAnsi="Arial" w:cs="Arial"/>
          <w:sz w:val="24"/>
          <w:szCs w:val="24"/>
          <w:lang w:eastAsia="da-DK"/>
        </w:rPr>
        <w:t xml:space="preserve"> Niveauet bør</w:t>
      </w:r>
      <w:r w:rsidR="004E782C">
        <w:rPr>
          <w:rFonts w:ascii="Arial" w:eastAsia="Times New Roman" w:hAnsi="Arial" w:cs="Arial"/>
          <w:sz w:val="24"/>
          <w:szCs w:val="24"/>
          <w:lang w:eastAsia="da-DK"/>
        </w:rPr>
        <w:t xml:space="preserve"> ligge på </w:t>
      </w:r>
      <w:r w:rsidRPr="004544CB">
        <w:rPr>
          <w:rFonts w:ascii="Arial" w:eastAsia="Times New Roman" w:hAnsi="Arial" w:cs="Arial"/>
          <w:sz w:val="24"/>
          <w:szCs w:val="24"/>
          <w:lang w:eastAsia="da-DK"/>
        </w:rPr>
        <w:t xml:space="preserve">1,14 gange ifølge andre danske virksomheder*. Niveauet må derfor betegnes som tilfredsstillende. AOH har i perioden udviklet sig negativt hvilket har bidraget til at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forringe den samlede rentabilitet (AG).</w:t>
      </w:r>
      <w:r w:rsidRPr="004544CB">
        <w:rPr>
          <w:rFonts w:ascii="Times New Roman" w:eastAsia="Times New Roman" w:hAnsi="Times New Roman" w:cs="Times New Roman"/>
          <w:sz w:val="20"/>
          <w:szCs w:val="20"/>
          <w:lang w:eastAsia="da-DK"/>
        </w:rPr>
        <w:t xml:space="preserve"> </w:t>
      </w:r>
      <w:r w:rsidRPr="004544CB">
        <w:rPr>
          <w:rFonts w:ascii="Arial" w:eastAsia="Times New Roman" w:hAnsi="Arial" w:cs="Arial"/>
          <w:sz w:val="24"/>
          <w:szCs w:val="24"/>
          <w:lang w:eastAsia="da-DK"/>
        </w:rPr>
        <w:t xml:space="preserve">I alt er faldet i AOH på 0,6% i perioden.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Egenkapitalens forrentning (EKF), gældsrenten, gearing og soliditet: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Niveauet for EKF ligger på 48,9% sammenlignet med andre danske virksomheder* som i gennemsnit ligger på 17,1% er dette </w:t>
      </w:r>
      <w:r w:rsidR="007005BD">
        <w:rPr>
          <w:rFonts w:ascii="Arial" w:eastAsia="Times New Roman" w:hAnsi="Arial" w:cs="Arial"/>
          <w:sz w:val="24"/>
          <w:szCs w:val="24"/>
          <w:lang w:eastAsia="da-DK"/>
        </w:rPr>
        <w:t>meget</w:t>
      </w:r>
      <w:r w:rsidRPr="004544CB">
        <w:rPr>
          <w:rFonts w:ascii="Arial" w:eastAsia="Times New Roman" w:hAnsi="Arial" w:cs="Arial"/>
          <w:sz w:val="24"/>
          <w:szCs w:val="24"/>
          <w:lang w:eastAsia="da-DK"/>
        </w:rPr>
        <w:t xml:space="preserve"> tilfredsstillende. Gældsrenten ligger i 2016 på 1,5%</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hvilket er </w:t>
      </w:r>
      <w:r w:rsidR="007005BD">
        <w:rPr>
          <w:rFonts w:ascii="Arial" w:eastAsia="Times New Roman" w:hAnsi="Arial" w:cs="Arial"/>
          <w:sz w:val="24"/>
          <w:szCs w:val="24"/>
          <w:lang w:eastAsia="da-DK"/>
        </w:rPr>
        <w:t>langt</w:t>
      </w:r>
      <w:r w:rsidRPr="004544CB">
        <w:rPr>
          <w:rFonts w:ascii="Arial" w:eastAsia="Times New Roman" w:hAnsi="Arial" w:cs="Arial"/>
          <w:sz w:val="24"/>
          <w:szCs w:val="24"/>
          <w:lang w:eastAsia="da-DK"/>
        </w:rPr>
        <w:t xml:space="preserve"> under afkastningsgraden dvs.  Linak A/S tjener på fremmedkapitalen.</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Rentemarginalen (AG - gældsrenten) er på ca.</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30,6%.  </w:t>
      </w:r>
      <w:r w:rsidRPr="004544CB">
        <w:rPr>
          <w:rFonts w:ascii="Times New Roman" w:eastAsia="Times New Roman" w:hAnsi="Times New Roman" w:cs="Times New Roman"/>
          <w:sz w:val="20"/>
          <w:szCs w:val="20"/>
          <w:lang w:eastAsia="da-DK"/>
        </w:rPr>
        <w:t xml:space="preserve">  </w:t>
      </w:r>
    </w:p>
    <w:p w:rsidR="007005BD"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Linak A/S har gearet deres egenkapital</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0,5 gange</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i</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2016.</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Soliditeten er på </w:t>
      </w:r>
      <w:r w:rsidR="007005BD">
        <w:rPr>
          <w:rFonts w:ascii="Arial" w:eastAsia="Times New Roman" w:hAnsi="Arial" w:cs="Arial"/>
          <w:sz w:val="24"/>
          <w:szCs w:val="24"/>
          <w:lang w:eastAsia="da-DK"/>
        </w:rPr>
        <w:t>67</w:t>
      </w:r>
      <w:r w:rsidRPr="004544CB">
        <w:rPr>
          <w:rFonts w:ascii="Arial" w:eastAsia="Times New Roman" w:hAnsi="Arial" w:cs="Arial"/>
          <w:sz w:val="24"/>
          <w:szCs w:val="24"/>
          <w:lang w:eastAsia="da-DK"/>
        </w:rPr>
        <w:t xml:space="preserve">%. Dette ligger </w:t>
      </w:r>
      <w:r w:rsidR="007005BD">
        <w:rPr>
          <w:rFonts w:ascii="Arial" w:eastAsia="Times New Roman" w:hAnsi="Arial" w:cs="Arial"/>
          <w:sz w:val="24"/>
          <w:szCs w:val="24"/>
          <w:lang w:eastAsia="da-DK"/>
        </w:rPr>
        <w:t>langt over</w:t>
      </w:r>
      <w:r w:rsidRPr="004544CB">
        <w:rPr>
          <w:rFonts w:ascii="Arial" w:eastAsia="Times New Roman" w:hAnsi="Arial" w:cs="Arial"/>
          <w:sz w:val="24"/>
          <w:szCs w:val="24"/>
          <w:lang w:eastAsia="da-DK"/>
        </w:rPr>
        <w:t xml:space="preserve"> normtallet for andre danske virksomheder* som ligger på ca. 38%</w:t>
      </w:r>
      <w:r w:rsidR="007005BD">
        <w:rPr>
          <w:rFonts w:ascii="Arial" w:eastAsia="Times New Roman" w:hAnsi="Arial" w:cs="Arial"/>
          <w:sz w:val="24"/>
          <w:szCs w:val="24"/>
          <w:lang w:eastAsia="da-DK"/>
        </w:rPr>
        <w:t>.</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Da egenkapitalens forrentning på 48,9% kan udregnes som </w:t>
      </w:r>
      <w:r w:rsidR="007005BD">
        <w:rPr>
          <w:rFonts w:ascii="Arial" w:eastAsia="Times New Roman" w:hAnsi="Arial" w:cs="Arial"/>
          <w:sz w:val="24"/>
          <w:szCs w:val="24"/>
          <w:lang w:eastAsia="da-DK"/>
        </w:rPr>
        <w:t>32,1% +(30,6% * 0,5</w:t>
      </w:r>
      <w:proofErr w:type="gramStart"/>
      <w:r w:rsidRPr="004544CB">
        <w:rPr>
          <w:rFonts w:ascii="Arial" w:eastAsia="Times New Roman" w:hAnsi="Arial" w:cs="Arial"/>
          <w:sz w:val="24"/>
          <w:szCs w:val="24"/>
          <w:lang w:eastAsia="da-DK"/>
        </w:rPr>
        <w:t>)</w:t>
      </w:r>
      <w:r w:rsidR="00FE4B00">
        <w:rPr>
          <w:rFonts w:ascii="Arial" w:eastAsia="Times New Roman" w:hAnsi="Arial" w:cs="Arial"/>
          <w:sz w:val="24"/>
          <w:szCs w:val="24"/>
          <w:lang w:eastAsia="da-DK"/>
        </w:rPr>
        <w:t>,</w:t>
      </w:r>
      <w:r w:rsidRPr="004544CB">
        <w:rPr>
          <w:rFonts w:ascii="Arial" w:eastAsia="Times New Roman" w:hAnsi="Arial" w:cs="Arial"/>
          <w:sz w:val="24"/>
          <w:szCs w:val="24"/>
          <w:lang w:eastAsia="da-DK"/>
        </w:rPr>
        <w:t xml:space="preserve">  (</w:t>
      </w:r>
      <w:proofErr w:type="gramEnd"/>
      <w:r w:rsidRPr="004544CB">
        <w:rPr>
          <w:rFonts w:ascii="Arial" w:eastAsia="Times New Roman" w:hAnsi="Arial" w:cs="Arial"/>
          <w:sz w:val="24"/>
          <w:szCs w:val="24"/>
          <w:lang w:eastAsia="da-DK"/>
        </w:rPr>
        <w:t>Formel = AG + (rentemarginal*gearing))</w:t>
      </w:r>
      <w:r w:rsidR="007005BD">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fremgår det klart, at når rentemarginalen er positiv, tjenes der penge på gearingen. Reglen må derfor være at jo større gearing jo højere forrentning af egenkapitalen. Det bedes bemærket, at hvis gearingen forøges, stiger den finansielle risiko og kreditværdigheden forringes.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Årsagen til stigningen i forrentningen af egenkapitalen i Linak A/S fra 38,9% ti</w:t>
      </w:r>
      <w:r w:rsidR="007005BD">
        <w:rPr>
          <w:rFonts w:ascii="Arial" w:eastAsia="Times New Roman" w:hAnsi="Arial" w:cs="Arial"/>
          <w:sz w:val="24"/>
          <w:szCs w:val="24"/>
          <w:lang w:eastAsia="da-DK"/>
        </w:rPr>
        <w:t>l</w:t>
      </w:r>
      <w:r w:rsidRPr="004544CB">
        <w:rPr>
          <w:rFonts w:ascii="Arial" w:eastAsia="Times New Roman" w:hAnsi="Arial" w:cs="Arial"/>
          <w:sz w:val="24"/>
          <w:szCs w:val="24"/>
          <w:lang w:eastAsia="da-DK"/>
        </w:rPr>
        <w:t xml:space="preserve"> 48,9%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skyldes primært stigningen i afkastningsgraden på 29%</w:t>
      </w:r>
      <w:r w:rsidRPr="004544CB">
        <w:rPr>
          <w:rFonts w:ascii="Arial" w:eastAsia="Times New Roman" w:hAnsi="Arial" w:cs="Arial"/>
          <w:sz w:val="20"/>
          <w:szCs w:val="20"/>
          <w:lang w:eastAsia="da-DK"/>
        </w:rPr>
        <w:t xml:space="preserve">.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2A7A4D" w:rsidP="00796D05">
      <w:pPr>
        <w:rPr>
          <w:rFonts w:ascii="Times New Roman" w:eastAsia="Times New Roman" w:hAnsi="Times New Roman" w:cs="Times New Roman"/>
          <w:sz w:val="20"/>
          <w:szCs w:val="20"/>
          <w:lang w:eastAsia="da-DK"/>
        </w:rPr>
      </w:pPr>
      <w:r>
        <w:rPr>
          <w:rFonts w:ascii="Arial" w:eastAsia="Times New Roman" w:hAnsi="Arial" w:cs="Arial"/>
          <w:b/>
          <w:bCs/>
          <w:sz w:val="24"/>
          <w:szCs w:val="24"/>
          <w:lang w:eastAsia="da-DK"/>
        </w:rPr>
        <w:br w:type="page"/>
      </w:r>
      <w:r w:rsidR="004544CB" w:rsidRPr="004544CB">
        <w:rPr>
          <w:rFonts w:ascii="Arial" w:eastAsia="Times New Roman" w:hAnsi="Arial" w:cs="Arial"/>
          <w:b/>
          <w:bCs/>
          <w:sz w:val="24"/>
          <w:szCs w:val="24"/>
          <w:lang w:eastAsia="da-DK"/>
        </w:rPr>
        <w:lastRenderedPageBreak/>
        <w:t xml:space="preserve">Indtjeningsevnen:  </w:t>
      </w:r>
      <w:r w:rsidR="004544CB"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Overskudsgraden er i perioden</w:t>
      </w:r>
      <w:r w:rsidRPr="004544CB">
        <w:rPr>
          <w:rFonts w:ascii="Times New Roman" w:eastAsia="Times New Roman" w:hAnsi="Times New Roman" w:cs="Times New Roman"/>
          <w:sz w:val="20"/>
          <w:szCs w:val="20"/>
          <w:lang w:eastAsia="da-DK"/>
        </w:rPr>
        <w:t xml:space="preserve"> </w:t>
      </w:r>
      <w:r w:rsidRPr="004544CB">
        <w:rPr>
          <w:rFonts w:ascii="Arial" w:eastAsia="Times New Roman" w:hAnsi="Arial" w:cs="Arial"/>
          <w:sz w:val="24"/>
          <w:szCs w:val="24"/>
          <w:lang w:eastAsia="da-DK"/>
        </w:rPr>
        <w:t>steget fra 16,2% til 21,0%</w:t>
      </w:r>
      <w:r w:rsidRPr="004544CB">
        <w:rPr>
          <w:rFonts w:ascii="Arial" w:eastAsia="Times New Roman" w:hAnsi="Arial" w:cs="Arial"/>
          <w:sz w:val="20"/>
          <w:szCs w:val="20"/>
          <w:lang w:eastAsia="da-DK"/>
        </w:rPr>
        <w:t>.</w:t>
      </w:r>
      <w:r w:rsidR="002A7A4D">
        <w:rPr>
          <w:rFonts w:ascii="Arial" w:eastAsia="Times New Roman" w:hAnsi="Arial" w:cs="Arial"/>
          <w:sz w:val="20"/>
          <w:szCs w:val="20"/>
          <w:lang w:eastAsia="da-DK"/>
        </w:rPr>
        <w:t xml:space="preserve"> </w:t>
      </w:r>
      <w:r w:rsidRPr="004544CB">
        <w:rPr>
          <w:rFonts w:ascii="Arial" w:eastAsia="Times New Roman" w:hAnsi="Arial" w:cs="Arial"/>
          <w:sz w:val="24"/>
          <w:szCs w:val="24"/>
          <w:lang w:eastAsia="da-DK"/>
        </w:rPr>
        <w:t>Omsætningen/salget er steget med 32% i perioden. Produktionsomkostning</w:t>
      </w:r>
      <w:r w:rsidR="00EA6A33">
        <w:rPr>
          <w:rFonts w:ascii="Arial" w:eastAsia="Times New Roman" w:hAnsi="Arial" w:cs="Arial"/>
          <w:sz w:val="24"/>
          <w:szCs w:val="24"/>
          <w:lang w:eastAsia="da-DK"/>
        </w:rPr>
        <w:t>erne</w:t>
      </w:r>
      <w:r w:rsidRPr="004544CB">
        <w:rPr>
          <w:rFonts w:ascii="Arial" w:eastAsia="Times New Roman" w:hAnsi="Arial" w:cs="Arial"/>
          <w:sz w:val="24"/>
          <w:szCs w:val="24"/>
          <w:lang w:eastAsia="da-DK"/>
        </w:rPr>
        <w:t xml:space="preserve"> er </w:t>
      </w:r>
      <w:r w:rsidR="00EA6A33">
        <w:rPr>
          <w:rFonts w:ascii="Arial" w:eastAsia="Times New Roman" w:hAnsi="Arial" w:cs="Arial"/>
          <w:sz w:val="24"/>
          <w:szCs w:val="24"/>
          <w:lang w:eastAsia="da-DK"/>
        </w:rPr>
        <w:t>kun steget</w:t>
      </w:r>
      <w:r w:rsidRPr="004544CB">
        <w:rPr>
          <w:rFonts w:ascii="Arial" w:eastAsia="Times New Roman" w:hAnsi="Arial" w:cs="Arial"/>
          <w:sz w:val="24"/>
          <w:szCs w:val="24"/>
          <w:lang w:eastAsia="da-DK"/>
        </w:rPr>
        <w:t xml:space="preserve"> </w:t>
      </w:r>
      <w:r w:rsidR="00EA6A33">
        <w:rPr>
          <w:rFonts w:ascii="Arial" w:eastAsia="Times New Roman" w:hAnsi="Arial" w:cs="Arial"/>
          <w:sz w:val="24"/>
          <w:szCs w:val="24"/>
          <w:lang w:eastAsia="da-DK"/>
        </w:rPr>
        <w:t xml:space="preserve">med </w:t>
      </w:r>
      <w:r w:rsidRPr="004544CB">
        <w:rPr>
          <w:rFonts w:ascii="Arial" w:eastAsia="Times New Roman" w:hAnsi="Arial" w:cs="Arial"/>
          <w:sz w:val="24"/>
          <w:szCs w:val="24"/>
          <w:lang w:eastAsia="da-DK"/>
        </w:rPr>
        <w:t xml:space="preserve">26% i perioden. Dette bevirker at </w:t>
      </w:r>
      <w:r w:rsidR="00EA6A33">
        <w:rPr>
          <w:rFonts w:ascii="Arial" w:eastAsia="Times New Roman" w:hAnsi="Arial" w:cs="Arial"/>
          <w:sz w:val="24"/>
          <w:szCs w:val="24"/>
          <w:lang w:eastAsia="da-DK"/>
        </w:rPr>
        <w:t>b</w:t>
      </w:r>
      <w:r w:rsidRPr="004544CB">
        <w:rPr>
          <w:rFonts w:ascii="Arial" w:eastAsia="Times New Roman" w:hAnsi="Arial" w:cs="Arial"/>
          <w:sz w:val="24"/>
          <w:szCs w:val="24"/>
          <w:lang w:eastAsia="da-DK"/>
        </w:rPr>
        <w:t xml:space="preserve">ruttoavanceprocenten er steget fra 33% til 36% hvilket medfører at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de variable omkostninger påvirker indtjeningsevnen i positiv retning.  </w:t>
      </w:r>
      <w:r w:rsidRPr="004544CB">
        <w:rPr>
          <w:rFonts w:ascii="Times New Roman" w:eastAsia="Times New Roman" w:hAnsi="Times New Roman" w:cs="Times New Roman"/>
          <w:sz w:val="20"/>
          <w:szCs w:val="20"/>
          <w:lang w:eastAsia="da-DK"/>
        </w:rPr>
        <w:t xml:space="preserve"> </w:t>
      </w:r>
    </w:p>
    <w:p w:rsidR="004544CB" w:rsidRPr="004544CB" w:rsidRDefault="00EA6A33" w:rsidP="004544CB">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 xml:space="preserve">Nulpunktsomsætningen er </w:t>
      </w:r>
      <w:r w:rsidR="004544CB" w:rsidRPr="004544CB">
        <w:rPr>
          <w:rFonts w:ascii="Arial" w:eastAsia="Times New Roman" w:hAnsi="Arial" w:cs="Arial"/>
          <w:sz w:val="24"/>
          <w:szCs w:val="24"/>
          <w:lang w:eastAsia="da-DK"/>
        </w:rPr>
        <w:t>vokset og ligger nu på kr.</w:t>
      </w:r>
      <w:r>
        <w:rPr>
          <w:rFonts w:ascii="Arial" w:eastAsia="Times New Roman" w:hAnsi="Arial" w:cs="Arial"/>
          <w:sz w:val="24"/>
          <w:szCs w:val="24"/>
          <w:lang w:eastAsia="da-DK"/>
        </w:rPr>
        <w:t xml:space="preserve"> </w:t>
      </w:r>
      <w:bookmarkStart w:id="0" w:name="_GoBack"/>
      <w:r w:rsidR="004544CB" w:rsidRPr="004544CB">
        <w:rPr>
          <w:rFonts w:ascii="Arial" w:eastAsia="Times New Roman" w:hAnsi="Arial" w:cs="Arial"/>
          <w:sz w:val="24"/>
          <w:szCs w:val="24"/>
          <w:lang w:eastAsia="da-DK"/>
        </w:rPr>
        <w:t>1.361.494.</w:t>
      </w:r>
      <w:r w:rsidR="00E75B05">
        <w:rPr>
          <w:rFonts w:ascii="Arial" w:eastAsia="Times New Roman" w:hAnsi="Arial" w:cs="Arial"/>
          <w:sz w:val="24"/>
          <w:szCs w:val="24"/>
          <w:lang w:eastAsia="da-DK"/>
        </w:rPr>
        <w:t>000</w:t>
      </w:r>
      <w:r w:rsidR="004544CB" w:rsidRPr="004544CB">
        <w:rPr>
          <w:rFonts w:ascii="Arial" w:eastAsia="Times New Roman" w:hAnsi="Arial" w:cs="Arial"/>
          <w:sz w:val="24"/>
          <w:szCs w:val="24"/>
          <w:lang w:eastAsia="da-DK"/>
        </w:rPr>
        <w:t xml:space="preserve"> </w:t>
      </w:r>
      <w:bookmarkEnd w:id="0"/>
      <w:r w:rsidR="004544CB" w:rsidRPr="004544CB">
        <w:rPr>
          <w:rFonts w:ascii="Arial" w:eastAsia="Times New Roman" w:hAnsi="Arial" w:cs="Arial"/>
          <w:sz w:val="24"/>
          <w:szCs w:val="24"/>
          <w:lang w:eastAsia="da-DK"/>
        </w:rPr>
        <w:t xml:space="preserve">Sikkerhedsmargen er på 58% dvs. hvis omsætningen falder med 58% har Linak A/S </w:t>
      </w:r>
    </w:p>
    <w:p w:rsid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"nul i overskud/resultat før renter."  </w:t>
      </w:r>
      <w:r w:rsidRPr="004544CB">
        <w:rPr>
          <w:rFonts w:ascii="Times New Roman" w:eastAsia="Times New Roman" w:hAnsi="Times New Roman" w:cs="Times New Roman"/>
          <w:sz w:val="20"/>
          <w:szCs w:val="20"/>
          <w:lang w:eastAsia="da-DK"/>
        </w:rPr>
        <w:t xml:space="preserve">        </w:t>
      </w:r>
    </w:p>
    <w:p w:rsidR="00EA6A33" w:rsidRPr="004544CB" w:rsidRDefault="00EA6A33" w:rsidP="004544CB">
      <w:pPr>
        <w:spacing w:after="0" w:line="240" w:lineRule="auto"/>
        <w:rPr>
          <w:rFonts w:ascii="Times New Roman" w:eastAsia="Times New Roman" w:hAnsi="Times New Roman" w:cs="Times New Roman"/>
          <w:sz w:val="20"/>
          <w:szCs w:val="20"/>
          <w:lang w:eastAsia="da-DK"/>
        </w:rPr>
      </w:pPr>
    </w:p>
    <w:p w:rsidR="004544CB" w:rsidRPr="00EA6A33"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Kommentarer til de faste omkostninger: </w:t>
      </w:r>
      <w:r w:rsidRPr="004544CB">
        <w:rPr>
          <w:rFonts w:ascii="Arial" w:eastAsia="Times New Roman" w:hAnsi="Arial" w:cs="Arial"/>
          <w:sz w:val="24"/>
          <w:szCs w:val="24"/>
          <w:lang w:eastAsia="da-DK"/>
        </w:rPr>
        <w:t xml:space="preserve">       </w:t>
      </w:r>
      <w:r w:rsidRPr="004544CB">
        <w:rPr>
          <w:rFonts w:ascii="Times New Roman" w:eastAsia="Times New Roman" w:hAnsi="Times New Roman" w:cs="Times New Roman"/>
          <w:sz w:val="20"/>
          <w:szCs w:val="20"/>
          <w:lang w:eastAsia="da-DK"/>
        </w:rPr>
        <w:t xml:space="preserve">     </w:t>
      </w:r>
    </w:p>
    <w:p w:rsid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 xml:space="preserve">Distributionsomkostninger er steget med 13% hvilket </w:t>
      </w:r>
      <w:r w:rsidR="00EA6A33">
        <w:rPr>
          <w:rFonts w:ascii="Arial" w:eastAsia="Times New Roman" w:hAnsi="Arial" w:cs="Arial"/>
          <w:sz w:val="24"/>
          <w:szCs w:val="24"/>
          <w:lang w:eastAsia="da-DK"/>
        </w:rPr>
        <w:t xml:space="preserve">alt andet lige </w:t>
      </w:r>
      <w:r w:rsidRPr="004544CB">
        <w:rPr>
          <w:rFonts w:ascii="Arial" w:eastAsia="Times New Roman" w:hAnsi="Arial" w:cs="Arial"/>
          <w:sz w:val="24"/>
          <w:szCs w:val="24"/>
          <w:lang w:eastAsia="da-DK"/>
        </w:rPr>
        <w:t>har forringet indtjeningen</w:t>
      </w:r>
      <w:r w:rsidR="00EA6A33">
        <w:rPr>
          <w:rFonts w:ascii="Arial" w:eastAsia="Times New Roman" w:hAnsi="Arial" w:cs="Arial"/>
          <w:sz w:val="24"/>
          <w:szCs w:val="24"/>
          <w:lang w:eastAsia="da-DK"/>
        </w:rPr>
        <w:t>, men stigningen er acceptabel da stigningen er mindre end fremgangen i omsætningen</w:t>
      </w:r>
      <w:r w:rsidR="00E75B05">
        <w:rPr>
          <w:rFonts w:ascii="Arial" w:eastAsia="Times New Roman" w:hAnsi="Arial" w:cs="Arial"/>
          <w:sz w:val="24"/>
          <w:szCs w:val="24"/>
          <w:lang w:eastAsia="da-DK"/>
        </w:rPr>
        <w:t xml:space="preserve"> på 32%</w:t>
      </w:r>
      <w:r w:rsidR="00EA6A33">
        <w:rPr>
          <w:rFonts w:ascii="Arial" w:eastAsia="Times New Roman" w:hAnsi="Arial" w:cs="Arial"/>
          <w:sz w:val="24"/>
          <w:szCs w:val="24"/>
          <w:lang w:eastAsia="da-DK"/>
        </w:rPr>
        <w:t>.</w:t>
      </w:r>
      <w:r w:rsidR="008F107F">
        <w:rPr>
          <w:rFonts w:ascii="Arial" w:eastAsia="Times New Roman" w:hAnsi="Arial" w:cs="Arial"/>
          <w:sz w:val="24"/>
          <w:szCs w:val="24"/>
          <w:lang w:eastAsia="da-DK"/>
        </w:rPr>
        <w:t xml:space="preserve"> </w:t>
      </w:r>
    </w:p>
    <w:p w:rsidR="008F107F" w:rsidRPr="004544CB" w:rsidRDefault="008F107F" w:rsidP="004544CB">
      <w:pPr>
        <w:spacing w:after="0" w:line="240" w:lineRule="auto"/>
        <w:rPr>
          <w:rFonts w:ascii="Arial" w:eastAsia="Times New Roman" w:hAnsi="Arial" w:cs="Arial"/>
          <w:sz w:val="24"/>
          <w:szCs w:val="24"/>
          <w:lang w:eastAsia="da-DK"/>
        </w:rPr>
      </w:pPr>
    </w:p>
    <w:p w:rsidR="008F107F" w:rsidRDefault="00E75B05" w:rsidP="004544CB">
      <w:p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A</w:t>
      </w:r>
      <w:r w:rsidR="004544CB" w:rsidRPr="004544CB">
        <w:rPr>
          <w:rFonts w:ascii="Arial" w:eastAsia="Times New Roman" w:hAnsi="Arial" w:cs="Arial"/>
          <w:sz w:val="24"/>
          <w:szCs w:val="24"/>
          <w:lang w:eastAsia="da-DK"/>
        </w:rPr>
        <w:t>dministrationsomkostninger er steget med 48% hvilket har forringet indtjeningen</w:t>
      </w:r>
      <w:r>
        <w:rPr>
          <w:rFonts w:ascii="Arial" w:eastAsia="Times New Roman" w:hAnsi="Arial" w:cs="Arial"/>
          <w:sz w:val="24"/>
          <w:szCs w:val="24"/>
          <w:lang w:eastAsia="da-DK"/>
        </w:rPr>
        <w:t xml:space="preserve"> og der bør være fokus på at nedbringe administrationso</w:t>
      </w:r>
      <w:r w:rsidR="008F107F">
        <w:rPr>
          <w:rFonts w:ascii="Arial" w:eastAsia="Times New Roman" w:hAnsi="Arial" w:cs="Arial"/>
          <w:sz w:val="24"/>
          <w:szCs w:val="24"/>
          <w:lang w:eastAsia="da-DK"/>
        </w:rPr>
        <w:t>mkostningerne eller blot stoppe udviklingen.</w:t>
      </w:r>
      <w:r w:rsidR="008F107F" w:rsidRPr="008F107F">
        <w:rPr>
          <w:rFonts w:ascii="Arial" w:eastAsia="Times New Roman" w:hAnsi="Arial" w:cs="Arial"/>
          <w:sz w:val="24"/>
          <w:szCs w:val="24"/>
          <w:lang w:eastAsia="da-DK"/>
        </w:rPr>
        <w:t xml:space="preserve"> </w:t>
      </w:r>
      <w:r w:rsidR="008F107F">
        <w:rPr>
          <w:rFonts w:ascii="Arial" w:eastAsia="Times New Roman" w:hAnsi="Arial" w:cs="Arial"/>
          <w:sz w:val="24"/>
          <w:szCs w:val="24"/>
          <w:lang w:eastAsia="da-DK"/>
        </w:rPr>
        <w:t>Linak har tjent 359 mio. ekstra i bruttofortjeneste og deraf har man brugt 36 mio. ekstra i administration -  det kan man ikke kritisere Linak for!</w:t>
      </w:r>
    </w:p>
    <w:p w:rsidR="008F107F" w:rsidRDefault="008F107F" w:rsidP="004544CB">
      <w:pPr>
        <w:spacing w:after="0" w:line="240" w:lineRule="auto"/>
        <w:rPr>
          <w:rFonts w:ascii="Arial" w:eastAsia="Times New Roman" w:hAnsi="Arial" w:cs="Arial"/>
          <w:sz w:val="24"/>
          <w:szCs w:val="24"/>
          <w:lang w:eastAsia="da-DK"/>
        </w:rPr>
      </w:pP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Finansielle omkostninger er faldet med 55%</w:t>
      </w:r>
      <w:r w:rsidR="008F107F">
        <w:rPr>
          <w:rFonts w:ascii="Arial" w:eastAsia="Times New Roman" w:hAnsi="Arial" w:cs="Arial"/>
          <w:sz w:val="24"/>
          <w:szCs w:val="24"/>
          <w:lang w:eastAsia="da-DK"/>
        </w:rPr>
        <w:t xml:space="preserve">, eller 12 mio. kr. </w:t>
      </w:r>
      <w:r w:rsidRPr="004544CB">
        <w:rPr>
          <w:rFonts w:ascii="Arial" w:eastAsia="Times New Roman" w:hAnsi="Arial" w:cs="Arial"/>
          <w:sz w:val="24"/>
          <w:szCs w:val="24"/>
          <w:lang w:eastAsia="da-DK"/>
        </w:rPr>
        <w:t>hvilket har forbedret indtjeningen.</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Kapitaltilpasningen: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"Hovednøgletallet" for kapitaltilpasningen er AOH. AOH er i perioden faldet med 0,6%.</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Nive</w:t>
      </w:r>
      <w:r w:rsidR="00E75B05">
        <w:rPr>
          <w:rFonts w:ascii="Arial" w:eastAsia="Times New Roman" w:hAnsi="Arial" w:cs="Arial"/>
          <w:sz w:val="24"/>
          <w:szCs w:val="24"/>
          <w:lang w:eastAsia="da-DK"/>
        </w:rPr>
        <w:t>auet ligger på</w:t>
      </w:r>
      <w:r w:rsidRPr="004544CB">
        <w:rPr>
          <w:rFonts w:ascii="Arial" w:eastAsia="Times New Roman" w:hAnsi="Arial" w:cs="Arial"/>
          <w:sz w:val="24"/>
          <w:szCs w:val="24"/>
          <w:lang w:eastAsia="da-DK"/>
        </w:rPr>
        <w:t xml:space="preserve"> 1,53 gange. Hvilket må betegnes som tilfredsstillende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Linak A/S har et fint forhold mellem omsætning og aktiver, så effektiviteten er overordnet set tilfredsstillende.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u w:val="single"/>
          <w:lang w:eastAsia="da-DK"/>
        </w:rPr>
        <w:t xml:space="preserve">Likviditeten:  </w:t>
      </w:r>
      <w:r w:rsidRPr="004544CB">
        <w:rPr>
          <w:rFonts w:ascii="Times New Roman" w:eastAsia="Times New Roman" w:hAnsi="Times New Roman" w:cs="Times New Roman"/>
          <w:sz w:val="20"/>
          <w:szCs w:val="20"/>
          <w:lang w:eastAsia="da-DK"/>
        </w:rPr>
        <w:t xml:space="preserve">         </w:t>
      </w:r>
    </w:p>
    <w:p w:rsidR="004544CB" w:rsidRPr="004544CB" w:rsidRDefault="00E75B05" w:rsidP="004544CB">
      <w:pPr>
        <w:spacing w:after="0" w:line="240" w:lineRule="auto"/>
        <w:rPr>
          <w:rFonts w:ascii="Times New Roman" w:eastAsia="Times New Roman" w:hAnsi="Times New Roman" w:cs="Times New Roman"/>
          <w:sz w:val="20"/>
          <w:szCs w:val="20"/>
          <w:lang w:eastAsia="da-DK"/>
        </w:rPr>
      </w:pPr>
      <w:r>
        <w:rPr>
          <w:rFonts w:ascii="Arial" w:eastAsia="Times New Roman" w:hAnsi="Arial" w:cs="Arial"/>
          <w:sz w:val="24"/>
          <w:szCs w:val="24"/>
          <w:lang w:eastAsia="da-DK"/>
        </w:rPr>
        <w:t>Likviditetsgraden</w:t>
      </w:r>
      <w:r w:rsidR="004544CB" w:rsidRPr="004544CB">
        <w:rPr>
          <w:rFonts w:ascii="Arial" w:eastAsia="Times New Roman" w:hAnsi="Arial" w:cs="Arial"/>
          <w:sz w:val="24"/>
          <w:szCs w:val="24"/>
          <w:lang w:eastAsia="da-DK"/>
        </w:rPr>
        <w:t xml:space="preserve"> er forbedret gennem perioden og ligger nu på 242. Niveauet er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tilfredsstillende.  Likviditetsgraden bør ligge på ca. 100 - 150.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b/>
          <w:bCs/>
          <w:sz w:val="24"/>
          <w:szCs w:val="24"/>
          <w:lang w:eastAsia="da-DK"/>
        </w:rPr>
        <w:t xml:space="preserve">Konklusionen:  </w:t>
      </w:r>
      <w:r w:rsidRPr="004544CB">
        <w:rPr>
          <w:rFonts w:ascii="Times New Roman" w:eastAsia="Times New Roman" w:hAnsi="Times New Roman" w:cs="Times New Roman"/>
          <w:sz w:val="20"/>
          <w:szCs w:val="20"/>
          <w:lang w:eastAsia="da-DK"/>
        </w:rPr>
        <w:t xml:space="preserve">         </w:t>
      </w:r>
    </w:p>
    <w:p w:rsidR="004544CB" w:rsidRPr="004544CB" w:rsidRDefault="004544CB" w:rsidP="004544CB">
      <w:pPr>
        <w:spacing w:after="0" w:line="240" w:lineRule="auto"/>
        <w:rPr>
          <w:rFonts w:ascii="Arial" w:eastAsia="Times New Roman" w:hAnsi="Arial" w:cs="Arial"/>
          <w:sz w:val="24"/>
          <w:szCs w:val="24"/>
          <w:lang w:eastAsia="da-DK"/>
        </w:rPr>
      </w:pPr>
      <w:r w:rsidRPr="004544CB">
        <w:rPr>
          <w:rFonts w:ascii="Arial" w:eastAsia="Times New Roman" w:hAnsi="Arial" w:cs="Arial"/>
          <w:sz w:val="24"/>
          <w:szCs w:val="24"/>
          <w:lang w:eastAsia="da-DK"/>
        </w:rPr>
        <w:t xml:space="preserve">Rentabiliteten har i perioden udviklet sig </w:t>
      </w:r>
      <w:r w:rsidR="007B7D6A">
        <w:rPr>
          <w:rFonts w:ascii="Arial" w:eastAsia="Times New Roman" w:hAnsi="Arial" w:cs="Arial"/>
          <w:sz w:val="24"/>
          <w:szCs w:val="24"/>
          <w:lang w:eastAsia="da-DK"/>
        </w:rPr>
        <w:t>meget</w:t>
      </w:r>
      <w:r w:rsidRPr="004544CB">
        <w:rPr>
          <w:rFonts w:ascii="Times New Roman" w:eastAsia="Times New Roman" w:hAnsi="Times New Roman" w:cs="Times New Roman"/>
          <w:sz w:val="20"/>
          <w:szCs w:val="20"/>
          <w:lang w:eastAsia="da-DK"/>
        </w:rPr>
        <w:t xml:space="preserve"> </w:t>
      </w:r>
      <w:r w:rsidRPr="004544CB">
        <w:rPr>
          <w:rFonts w:ascii="Arial" w:eastAsia="Times New Roman" w:hAnsi="Arial" w:cs="Arial"/>
          <w:sz w:val="24"/>
          <w:szCs w:val="24"/>
          <w:lang w:eastAsia="da-DK"/>
        </w:rPr>
        <w:t>positivt idet AG er steget med</w:t>
      </w:r>
      <w:r w:rsidR="007B7D6A">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29%. </w:t>
      </w:r>
    </w:p>
    <w:p w:rsidR="007B7D6A" w:rsidRPr="004544CB" w:rsidRDefault="004544CB" w:rsidP="007B7D6A">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Udviklingen skyldes primært</w:t>
      </w:r>
      <w:r w:rsidR="007B7D6A">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stigning</w:t>
      </w:r>
      <w:r w:rsidR="007B7D6A">
        <w:rPr>
          <w:rFonts w:ascii="Arial" w:eastAsia="Times New Roman" w:hAnsi="Arial" w:cs="Arial"/>
          <w:sz w:val="24"/>
          <w:szCs w:val="24"/>
          <w:lang w:eastAsia="da-DK"/>
        </w:rPr>
        <w:t xml:space="preserve">en i </w:t>
      </w:r>
      <w:r w:rsidRPr="004544CB">
        <w:rPr>
          <w:rFonts w:ascii="Arial" w:eastAsia="Times New Roman" w:hAnsi="Arial" w:cs="Arial"/>
          <w:sz w:val="24"/>
          <w:szCs w:val="24"/>
          <w:lang w:eastAsia="da-DK"/>
        </w:rPr>
        <w:t>indtjeningsevnen.</w:t>
      </w:r>
      <w:r w:rsidR="007B7D6A">
        <w:rPr>
          <w:rFonts w:ascii="Arial" w:eastAsia="Times New Roman" w:hAnsi="Arial" w:cs="Arial"/>
          <w:sz w:val="24"/>
          <w:szCs w:val="24"/>
          <w:lang w:eastAsia="da-DK"/>
        </w:rPr>
        <w:t xml:space="preserve"> </w:t>
      </w:r>
      <w:r w:rsidRPr="004544CB">
        <w:rPr>
          <w:rFonts w:ascii="Arial" w:eastAsia="Times New Roman" w:hAnsi="Arial" w:cs="Arial"/>
          <w:sz w:val="24"/>
          <w:szCs w:val="24"/>
          <w:lang w:eastAsia="da-DK"/>
        </w:rPr>
        <w:t xml:space="preserve"> </w:t>
      </w:r>
      <w:r w:rsidR="007B7D6A">
        <w:rPr>
          <w:rFonts w:ascii="Arial" w:eastAsia="Times New Roman" w:hAnsi="Arial" w:cs="Arial"/>
          <w:sz w:val="24"/>
          <w:szCs w:val="24"/>
          <w:lang w:eastAsia="da-DK"/>
        </w:rPr>
        <w:t>Alle niveauerne er meget tilfredsstillende.</w:t>
      </w:r>
      <w:r w:rsidR="007B7D6A" w:rsidRPr="007B7D6A">
        <w:rPr>
          <w:rFonts w:ascii="Arial" w:eastAsia="Times New Roman" w:hAnsi="Arial" w:cs="Arial"/>
          <w:sz w:val="24"/>
          <w:szCs w:val="24"/>
          <w:lang w:eastAsia="da-DK"/>
        </w:rPr>
        <w:t xml:space="preserve"> </w:t>
      </w:r>
      <w:r w:rsidR="007B7D6A">
        <w:rPr>
          <w:rFonts w:ascii="Arial" w:eastAsia="Times New Roman" w:hAnsi="Arial" w:cs="Arial"/>
          <w:sz w:val="24"/>
          <w:szCs w:val="24"/>
          <w:lang w:eastAsia="da-DK"/>
        </w:rPr>
        <w:t>F.eks. kan nævnes n</w:t>
      </w:r>
      <w:r w:rsidR="007B7D6A" w:rsidRPr="004544CB">
        <w:rPr>
          <w:rFonts w:ascii="Arial" w:eastAsia="Times New Roman" w:hAnsi="Arial" w:cs="Arial"/>
          <w:sz w:val="24"/>
          <w:szCs w:val="24"/>
          <w:lang w:eastAsia="da-DK"/>
        </w:rPr>
        <w:t xml:space="preserve">iveauet for egenkapitalens forrentning </w:t>
      </w:r>
      <w:r w:rsidR="007B7D6A">
        <w:rPr>
          <w:rFonts w:ascii="Arial" w:eastAsia="Times New Roman" w:hAnsi="Arial" w:cs="Arial"/>
          <w:sz w:val="24"/>
          <w:szCs w:val="24"/>
          <w:lang w:eastAsia="da-DK"/>
        </w:rPr>
        <w:t>på 48,9%.</w:t>
      </w:r>
    </w:p>
    <w:p w:rsidR="007B7D6A" w:rsidRPr="004544CB" w:rsidRDefault="007B7D6A" w:rsidP="007B7D6A">
      <w:pPr>
        <w:spacing w:after="0" w:line="240" w:lineRule="auto"/>
        <w:rPr>
          <w:rFonts w:ascii="Times New Roman" w:eastAsia="Times New Roman" w:hAnsi="Times New Roman" w:cs="Times New Roman"/>
          <w:sz w:val="20"/>
          <w:szCs w:val="20"/>
          <w:lang w:eastAsia="da-DK"/>
        </w:rPr>
      </w:pPr>
      <w:r w:rsidRPr="004544CB">
        <w:rPr>
          <w:rFonts w:ascii="Arial" w:eastAsia="Times New Roman" w:hAnsi="Arial" w:cs="Arial"/>
          <w:sz w:val="24"/>
          <w:szCs w:val="24"/>
          <w:lang w:eastAsia="da-DK"/>
        </w:rPr>
        <w:t xml:space="preserve">Linak </w:t>
      </w:r>
      <w:r>
        <w:rPr>
          <w:rFonts w:ascii="Arial" w:eastAsia="Times New Roman" w:hAnsi="Arial" w:cs="Arial"/>
          <w:sz w:val="24"/>
          <w:szCs w:val="24"/>
          <w:lang w:eastAsia="da-DK"/>
        </w:rPr>
        <w:t xml:space="preserve">har en rentemarginal på 30,6% så Linak </w:t>
      </w:r>
      <w:r w:rsidRPr="004544CB">
        <w:rPr>
          <w:rFonts w:ascii="Arial" w:eastAsia="Times New Roman" w:hAnsi="Arial" w:cs="Arial"/>
          <w:sz w:val="24"/>
          <w:szCs w:val="24"/>
          <w:lang w:eastAsia="da-DK"/>
        </w:rPr>
        <w:t xml:space="preserve">tjener </w:t>
      </w:r>
      <w:r>
        <w:rPr>
          <w:rFonts w:ascii="Arial" w:eastAsia="Times New Roman" w:hAnsi="Arial" w:cs="Arial"/>
          <w:sz w:val="24"/>
          <w:szCs w:val="24"/>
          <w:lang w:eastAsia="da-DK"/>
        </w:rPr>
        <w:t xml:space="preserve">virkelig </w:t>
      </w:r>
      <w:r w:rsidRPr="004544CB">
        <w:rPr>
          <w:rFonts w:ascii="Arial" w:eastAsia="Times New Roman" w:hAnsi="Arial" w:cs="Arial"/>
          <w:sz w:val="24"/>
          <w:szCs w:val="24"/>
          <w:lang w:eastAsia="da-DK"/>
        </w:rPr>
        <w:t>penge på fremmedkapitalen</w:t>
      </w:r>
      <w:r>
        <w:rPr>
          <w:rFonts w:ascii="Arial" w:eastAsia="Times New Roman" w:hAnsi="Arial" w:cs="Arial"/>
          <w:sz w:val="24"/>
          <w:szCs w:val="24"/>
          <w:lang w:eastAsia="da-DK"/>
        </w:rPr>
        <w:t>.</w:t>
      </w:r>
      <w:r w:rsidRPr="004544CB">
        <w:rPr>
          <w:rFonts w:ascii="Arial" w:eastAsia="Times New Roman" w:hAnsi="Arial" w:cs="Arial"/>
          <w:sz w:val="20"/>
          <w:szCs w:val="20"/>
          <w:lang w:eastAsia="da-DK"/>
        </w:rPr>
        <w:t xml:space="preserve">  </w:t>
      </w:r>
      <w:r w:rsidRPr="004544CB">
        <w:rPr>
          <w:rFonts w:ascii="Times New Roman" w:eastAsia="Times New Roman" w:hAnsi="Times New Roman" w:cs="Times New Roman"/>
          <w:sz w:val="20"/>
          <w:szCs w:val="20"/>
          <w:lang w:eastAsia="da-DK"/>
        </w:rPr>
        <w:t xml:space="preserve"> </w:t>
      </w:r>
    </w:p>
    <w:p w:rsidR="004544CB" w:rsidRPr="004544CB" w:rsidRDefault="007B7D6A" w:rsidP="007B7D6A">
      <w:pPr>
        <w:spacing w:after="0" w:line="240" w:lineRule="auto"/>
        <w:rPr>
          <w:rFonts w:ascii="Times New Roman" w:eastAsia="Times New Roman" w:hAnsi="Times New Roman" w:cs="Times New Roman"/>
          <w:sz w:val="20"/>
          <w:szCs w:val="20"/>
          <w:lang w:eastAsia="da-DK"/>
        </w:rPr>
      </w:pPr>
      <w:r>
        <w:rPr>
          <w:rFonts w:ascii="Arial" w:eastAsia="Times New Roman" w:hAnsi="Arial" w:cs="Arial"/>
          <w:sz w:val="24"/>
          <w:szCs w:val="24"/>
          <w:lang w:eastAsia="da-DK"/>
        </w:rPr>
        <w:t>Yderligere har Linak en meget fin soliditetsgrad på 67% (gearing 0,5 gange) og en likviditetsgrad på 242, så deres kreditværdighed er meget høj.</w:t>
      </w:r>
      <w:r w:rsidR="003C0345">
        <w:rPr>
          <w:rFonts w:ascii="Arial" w:eastAsia="Times New Roman" w:hAnsi="Arial" w:cs="Arial"/>
          <w:sz w:val="24"/>
          <w:szCs w:val="24"/>
          <w:lang w:eastAsia="da-DK"/>
        </w:rPr>
        <w:t xml:space="preserve"> Der er intet negativt. Super økonomi, både mht. niveau og udvikling.</w:t>
      </w:r>
      <w:r>
        <w:rPr>
          <w:rFonts w:ascii="Arial" w:eastAsia="Times New Roman" w:hAnsi="Arial" w:cs="Arial"/>
          <w:sz w:val="24"/>
          <w:szCs w:val="24"/>
          <w:lang w:eastAsia="da-DK"/>
        </w:rPr>
        <w:t xml:space="preserve">  </w:t>
      </w:r>
    </w:p>
    <w:p w:rsidR="004544CB" w:rsidRPr="004544CB" w:rsidRDefault="004544CB" w:rsidP="004544CB">
      <w:pPr>
        <w:spacing w:after="0" w:line="240" w:lineRule="auto"/>
        <w:rPr>
          <w:rFonts w:ascii="Times New Roman" w:eastAsia="Times New Roman" w:hAnsi="Times New Roman" w:cs="Times New Roman"/>
          <w:sz w:val="20"/>
          <w:szCs w:val="20"/>
          <w:lang w:eastAsia="da-DK"/>
        </w:rPr>
      </w:pPr>
      <w:r w:rsidRPr="004544CB">
        <w:rPr>
          <w:rFonts w:ascii="Times New Roman" w:eastAsia="Times New Roman" w:hAnsi="Times New Roman" w:cs="Times New Roman"/>
          <w:sz w:val="20"/>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6"/>
          <w:szCs w:val="20"/>
          <w:lang w:eastAsia="da-DK"/>
        </w:rPr>
      </w:pPr>
      <w:r w:rsidRPr="00796D05">
        <w:rPr>
          <w:rFonts w:ascii="Arial" w:eastAsia="Times New Roman" w:hAnsi="Arial" w:cs="Arial"/>
          <w:sz w:val="20"/>
          <w:szCs w:val="24"/>
          <w:lang w:eastAsia="da-DK"/>
        </w:rPr>
        <w:t xml:space="preserve">*  </w:t>
      </w:r>
      <w:r w:rsidRPr="00796D05">
        <w:rPr>
          <w:rFonts w:ascii="Times New Roman" w:eastAsia="Times New Roman" w:hAnsi="Times New Roman" w:cs="Times New Roman"/>
          <w:sz w:val="16"/>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Kilde:2016, Avisen Børsen top 1000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https://www.business.dk/oekonomi/se-listen-her-er-danmarks-1.000-stoerste-virksomheder-i-2017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Det samlede benchmark er et gennemsnit af virksomheder fra undervisningen i virksomhedsøkonomi samt avisen Børsens top 1000, hvor der er udregnet gennemsnit for de 100 største virksomheder i 2015 &amp; 2016, dette er vægtet med ca. 80% og virksomhederne fra undervisningen er vægtet med ca. 20%.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Arial" w:eastAsia="Times New Roman" w:hAnsi="Arial" w:cs="Arial"/>
          <w:sz w:val="16"/>
          <w:szCs w:val="24"/>
          <w:lang w:eastAsia="da-DK"/>
        </w:rPr>
        <w:t xml:space="preserve">http://www.nasdaqomxnordic.com/aktier/microsite?Instrument=CSE1158&amp;name=Novo%20Nordisk%20B  </w:t>
      </w: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Times New Roman" w:eastAsia="Times New Roman" w:hAnsi="Times New Roman" w:cs="Times New Roman"/>
          <w:sz w:val="12"/>
          <w:szCs w:val="20"/>
          <w:lang w:eastAsia="da-DK"/>
        </w:rPr>
        <w:lastRenderedPageBreak/>
        <w:t xml:space="preserve">           </w:t>
      </w:r>
    </w:p>
    <w:p w:rsidR="004544CB" w:rsidRPr="00796D05" w:rsidRDefault="004544CB" w:rsidP="004544CB">
      <w:pPr>
        <w:spacing w:after="0" w:line="240" w:lineRule="auto"/>
        <w:rPr>
          <w:rFonts w:ascii="Times New Roman" w:eastAsia="Times New Roman" w:hAnsi="Times New Roman" w:cs="Times New Roman"/>
          <w:sz w:val="12"/>
          <w:szCs w:val="20"/>
          <w:lang w:eastAsia="da-DK"/>
        </w:rPr>
      </w:pPr>
      <w:r w:rsidRPr="00796D05">
        <w:rPr>
          <w:rFonts w:ascii="Times New Roman" w:eastAsia="Times New Roman" w:hAnsi="Times New Roman" w:cs="Times New Roman"/>
          <w:sz w:val="12"/>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6"/>
          <w:szCs w:val="20"/>
          <w:lang w:eastAsia="da-DK"/>
        </w:rPr>
      </w:pPr>
      <w:r w:rsidRPr="00796D05">
        <w:rPr>
          <w:rFonts w:ascii="Times New Roman" w:eastAsia="Times New Roman" w:hAnsi="Times New Roman" w:cs="Times New Roman"/>
          <w:sz w:val="16"/>
          <w:szCs w:val="20"/>
          <w:lang w:eastAsia="da-DK"/>
        </w:rPr>
        <w:t xml:space="preserve">           </w:t>
      </w:r>
    </w:p>
    <w:p w:rsidR="004544CB" w:rsidRPr="00796D05" w:rsidRDefault="004544CB" w:rsidP="004544CB">
      <w:pPr>
        <w:spacing w:after="0" w:line="240" w:lineRule="auto"/>
        <w:rPr>
          <w:rFonts w:ascii="Times New Roman" w:eastAsia="Times New Roman" w:hAnsi="Times New Roman" w:cs="Times New Roman"/>
          <w:sz w:val="16"/>
          <w:szCs w:val="20"/>
          <w:lang w:eastAsia="da-DK"/>
        </w:rPr>
      </w:pPr>
      <w:r w:rsidRPr="00796D05">
        <w:rPr>
          <w:rFonts w:ascii="Times New Roman" w:eastAsia="Times New Roman" w:hAnsi="Times New Roman" w:cs="Times New Roman"/>
          <w:sz w:val="16"/>
          <w:szCs w:val="20"/>
          <w:lang w:eastAsia="da-DK"/>
        </w:rPr>
        <w:t xml:space="preserve">           </w:t>
      </w:r>
    </w:p>
    <w:p w:rsidR="00AB092D" w:rsidRPr="00796D05" w:rsidRDefault="00AB092D">
      <w:pPr>
        <w:rPr>
          <w:sz w:val="18"/>
        </w:rPr>
      </w:pPr>
    </w:p>
    <w:sectPr w:rsidR="00AB092D" w:rsidRPr="00796D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CB"/>
    <w:rsid w:val="00260F05"/>
    <w:rsid w:val="002A7A4D"/>
    <w:rsid w:val="003C0345"/>
    <w:rsid w:val="004355C5"/>
    <w:rsid w:val="004544CB"/>
    <w:rsid w:val="004E782C"/>
    <w:rsid w:val="007005BD"/>
    <w:rsid w:val="00790C2F"/>
    <w:rsid w:val="00796D05"/>
    <w:rsid w:val="007B7D6A"/>
    <w:rsid w:val="008F107F"/>
    <w:rsid w:val="00AB092D"/>
    <w:rsid w:val="00E75B05"/>
    <w:rsid w:val="00EA6A33"/>
    <w:rsid w:val="00FE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AFB9"/>
  <w15:chartTrackingRefBased/>
  <w15:docId w15:val="{6BA4ED40-BE69-4A7A-9C3B-52C1F8F1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796</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Roskilde Handelsskole</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Brygger</dc:creator>
  <cp:keywords/>
  <dc:description/>
  <cp:lastModifiedBy>Jesper Brygger</cp:lastModifiedBy>
  <cp:revision>8</cp:revision>
  <dcterms:created xsi:type="dcterms:W3CDTF">2020-02-10T15:57:00Z</dcterms:created>
  <dcterms:modified xsi:type="dcterms:W3CDTF">2020-02-20T12:56:00Z</dcterms:modified>
</cp:coreProperties>
</file>