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68" w:rsidRDefault="00E40A68" w:rsidP="00E40A68">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bookmarkStart w:id="0" w:name="_GoBack"/>
      <w:bookmarkEnd w:id="0"/>
      <w:r w:rsidRPr="00E40A68">
        <w:rPr>
          <w:rFonts w:ascii="Times New Roman" w:eastAsia="Times New Roman" w:hAnsi="Times New Roman" w:cs="Times New Roman"/>
          <w:b/>
          <w:bCs/>
          <w:kern w:val="36"/>
          <w:sz w:val="48"/>
          <w:szCs w:val="48"/>
          <w:lang w:eastAsia="da-DK"/>
        </w:rPr>
        <w:t>Markedsrente</w:t>
      </w:r>
      <w:r w:rsidR="00386F27">
        <w:rPr>
          <w:rFonts w:ascii="Times New Roman" w:eastAsia="Times New Roman" w:hAnsi="Times New Roman" w:cs="Times New Roman"/>
          <w:b/>
          <w:bCs/>
          <w:kern w:val="36"/>
          <w:sz w:val="48"/>
          <w:szCs w:val="48"/>
          <w:lang w:eastAsia="da-DK"/>
        </w:rPr>
        <w:t>n – Rentesatser</w:t>
      </w:r>
    </w:p>
    <w:p w:rsidR="00DD2D89" w:rsidRPr="00DD2D89" w:rsidRDefault="00DD2D89" w:rsidP="00E40A68">
      <w:pPr>
        <w:spacing w:before="100" w:beforeAutospacing="1" w:after="100" w:afterAutospacing="1" w:line="240" w:lineRule="auto"/>
        <w:outlineLvl w:val="0"/>
        <w:rPr>
          <w:rFonts w:ascii="Times New Roman" w:eastAsia="Times New Roman" w:hAnsi="Times New Roman" w:cs="Times New Roman"/>
          <w:b/>
          <w:bCs/>
          <w:kern w:val="36"/>
          <w:sz w:val="40"/>
          <w:szCs w:val="48"/>
          <w:lang w:eastAsia="da-DK"/>
        </w:rPr>
      </w:pPr>
      <w:r w:rsidRPr="00DD2D89">
        <w:rPr>
          <w:rFonts w:ascii="Times New Roman" w:eastAsia="Times New Roman" w:hAnsi="Times New Roman" w:cs="Times New Roman"/>
          <w:b/>
          <w:bCs/>
          <w:kern w:val="36"/>
          <w:sz w:val="40"/>
          <w:szCs w:val="48"/>
          <w:lang w:eastAsia="da-DK"/>
        </w:rPr>
        <w:t>Fra Systime</w:t>
      </w:r>
      <w:r w:rsidR="000D0055">
        <w:rPr>
          <w:rFonts w:ascii="Times New Roman" w:eastAsia="Times New Roman" w:hAnsi="Times New Roman" w:cs="Times New Roman"/>
          <w:b/>
          <w:bCs/>
          <w:kern w:val="36"/>
          <w:sz w:val="40"/>
          <w:szCs w:val="48"/>
          <w:lang w:eastAsia="da-DK"/>
        </w:rPr>
        <w:t xml:space="preserve"> og nogle andre definitioner</w:t>
      </w:r>
      <w:r w:rsidRPr="00DD2D89">
        <w:rPr>
          <w:rFonts w:ascii="Times New Roman" w:eastAsia="Times New Roman" w:hAnsi="Times New Roman" w:cs="Times New Roman"/>
          <w:b/>
          <w:bCs/>
          <w:kern w:val="36"/>
          <w:sz w:val="40"/>
          <w:szCs w:val="48"/>
          <w:lang w:eastAsia="da-DK"/>
        </w:rPr>
        <w:t>:</w:t>
      </w:r>
    </w:p>
    <w:p w:rsidR="00DD2D89" w:rsidRDefault="00DD2D89" w:rsidP="00DD2D89">
      <w:pPr>
        <w:shd w:val="clear" w:color="auto" w:fill="FFFFFF"/>
        <w:spacing w:after="240" w:line="240" w:lineRule="auto"/>
        <w:rPr>
          <w:rFonts w:ascii="Arial" w:hAnsi="Arial" w:cs="Arial"/>
          <w:color w:val="333333"/>
          <w:sz w:val="20"/>
          <w:szCs w:val="20"/>
        </w:rPr>
      </w:pPr>
      <w:r>
        <w:rPr>
          <w:rFonts w:ascii="Arial" w:hAnsi="Arial" w:cs="Arial"/>
          <w:color w:val="333333"/>
          <w:sz w:val="20"/>
          <w:szCs w:val="20"/>
        </w:rPr>
        <w:t>Afkastningsgraden lå i 2015 på et tilfredsstillende niveau sammenlignet med markedsrenten på 3-4% plus et risikotillæg.</w:t>
      </w:r>
    </w:p>
    <w:p w:rsidR="00DD2D89" w:rsidRPr="00A07071" w:rsidRDefault="00DD2D89" w:rsidP="00DD2D89">
      <w:pPr>
        <w:shd w:val="clear" w:color="auto" w:fill="FFFFFF"/>
        <w:spacing w:line="240" w:lineRule="auto"/>
        <w:rPr>
          <w:rFonts w:ascii="Arial" w:eastAsia="Times New Roman" w:hAnsi="Arial" w:cs="Arial"/>
          <w:color w:val="333333"/>
          <w:sz w:val="20"/>
          <w:szCs w:val="20"/>
          <w:lang w:eastAsia="da-DK"/>
        </w:rPr>
      </w:pPr>
      <w:r w:rsidRPr="00985AE4">
        <w:rPr>
          <w:rFonts w:ascii="Arial" w:eastAsia="Times New Roman" w:hAnsi="Arial" w:cs="Arial"/>
          <w:b/>
          <w:color w:val="333333"/>
          <w:sz w:val="20"/>
          <w:szCs w:val="20"/>
          <w:lang w:eastAsia="da-DK"/>
        </w:rPr>
        <w:t>Markedsrenten</w:t>
      </w:r>
      <w:r>
        <w:rPr>
          <w:rFonts w:ascii="Arial" w:eastAsia="Times New Roman" w:hAnsi="Arial" w:cs="Arial"/>
          <w:color w:val="333333"/>
          <w:sz w:val="20"/>
          <w:szCs w:val="20"/>
          <w:lang w:eastAsia="da-DK"/>
        </w:rPr>
        <w:t xml:space="preserve">: </w:t>
      </w:r>
      <w:r w:rsidRPr="00A07071">
        <w:rPr>
          <w:rFonts w:ascii="Arial" w:eastAsia="Times New Roman" w:hAnsi="Arial" w:cs="Arial"/>
          <w:color w:val="333333"/>
          <w:sz w:val="20"/>
          <w:szCs w:val="20"/>
          <w:lang w:eastAsia="da-DK"/>
        </w:rPr>
        <w:t>Den rente, m</w:t>
      </w:r>
      <w:r>
        <w:rPr>
          <w:rFonts w:ascii="Arial" w:eastAsia="Times New Roman" w:hAnsi="Arial" w:cs="Arial"/>
          <w:color w:val="333333"/>
          <w:sz w:val="20"/>
          <w:szCs w:val="20"/>
          <w:lang w:eastAsia="da-DK"/>
        </w:rPr>
        <w:t>an kan opnå ved investering i f.eks.</w:t>
      </w:r>
      <w:r w:rsidRPr="00A07071">
        <w:rPr>
          <w:rFonts w:ascii="Arial" w:eastAsia="Times New Roman" w:hAnsi="Arial" w:cs="Arial"/>
          <w:color w:val="333333"/>
          <w:sz w:val="20"/>
          <w:szCs w:val="20"/>
          <w:lang w:eastAsia="da-DK"/>
        </w:rPr>
        <w:t xml:space="preserve"> obligationer.</w:t>
      </w:r>
    </w:p>
    <w:p w:rsidR="00DD2D89" w:rsidRDefault="00DD2D89" w:rsidP="00DD2D89">
      <w:pPr>
        <w:shd w:val="clear" w:color="auto" w:fill="FFFFFF"/>
        <w:spacing w:after="240" w:line="240" w:lineRule="auto"/>
        <w:rPr>
          <w:rFonts w:ascii="Arial" w:eastAsia="Times New Roman" w:hAnsi="Arial" w:cs="Arial"/>
          <w:color w:val="333333"/>
          <w:sz w:val="20"/>
          <w:szCs w:val="20"/>
          <w:lang w:eastAsia="da-DK"/>
        </w:rPr>
      </w:pPr>
      <w:r w:rsidRPr="00A07071">
        <w:rPr>
          <w:rFonts w:ascii="Arial" w:eastAsia="Times New Roman" w:hAnsi="Arial" w:cs="Arial"/>
          <w:color w:val="333333"/>
          <w:sz w:val="20"/>
          <w:szCs w:val="20"/>
          <w:lang w:eastAsia="da-DK"/>
        </w:rPr>
        <w:t xml:space="preserve">Det generelle renteniveau på pengemarkedet benævnes ofte </w:t>
      </w:r>
      <w:r w:rsidRPr="00A07071">
        <w:rPr>
          <w:rFonts w:ascii="Arial" w:eastAsia="Times New Roman" w:hAnsi="Arial" w:cs="Arial"/>
          <w:b/>
          <w:bCs/>
          <w:i/>
          <w:iCs/>
          <w:color w:val="000000"/>
          <w:sz w:val="20"/>
          <w:szCs w:val="20"/>
          <w:lang w:eastAsia="da-DK"/>
        </w:rPr>
        <w:t>markedsrenten</w:t>
      </w:r>
      <w:r w:rsidRPr="00A07071">
        <w:rPr>
          <w:rFonts w:ascii="Arial" w:eastAsia="Times New Roman" w:hAnsi="Arial" w:cs="Arial"/>
          <w:color w:val="333333"/>
          <w:sz w:val="20"/>
          <w:szCs w:val="20"/>
          <w:lang w:eastAsia="da-DK"/>
        </w:rPr>
        <w:t>.</w:t>
      </w:r>
      <w:r>
        <w:rPr>
          <w:rFonts w:ascii="Arial" w:eastAsia="Times New Roman" w:hAnsi="Arial" w:cs="Arial"/>
          <w:color w:val="333333"/>
          <w:sz w:val="20"/>
          <w:szCs w:val="20"/>
          <w:lang w:eastAsia="da-DK"/>
        </w:rPr>
        <w:t xml:space="preserve"> </w:t>
      </w:r>
    </w:p>
    <w:p w:rsidR="00386F27" w:rsidRPr="00E40A68" w:rsidRDefault="00386F27" w:rsidP="00386F27">
      <w:pPr>
        <w:spacing w:before="100" w:beforeAutospacing="1" w:after="100" w:afterAutospacing="1" w:line="240" w:lineRule="auto"/>
        <w:rPr>
          <w:rFonts w:ascii="Times New Roman" w:eastAsia="Times New Roman" w:hAnsi="Times New Roman" w:cs="Times New Roman"/>
          <w:sz w:val="24"/>
          <w:szCs w:val="24"/>
          <w:lang w:eastAsia="da-DK"/>
        </w:rPr>
      </w:pPr>
      <w:r w:rsidRPr="00E40A68">
        <w:rPr>
          <w:rFonts w:ascii="Times New Roman" w:eastAsia="Times New Roman" w:hAnsi="Times New Roman" w:cs="Times New Roman"/>
          <w:sz w:val="24"/>
          <w:szCs w:val="24"/>
          <w:lang w:eastAsia="da-DK"/>
        </w:rPr>
        <w:t>Markedsrenten er renten som er gældende på det frie marked dvs. her og nu. Markedsrenten svinger sammen med nationalbankens rente.</w:t>
      </w:r>
    </w:p>
    <w:p w:rsidR="00386F27" w:rsidRDefault="00067817" w:rsidP="00386F27">
      <w:hyperlink r:id="rId5" w:history="1">
        <w:r w:rsidR="00386F27" w:rsidRPr="007D18E8">
          <w:rPr>
            <w:rStyle w:val="Hyperlink"/>
          </w:rPr>
          <w:t>http://www.banktorvet.dk/oekonomi/markedsrente/</w:t>
        </w:r>
      </w:hyperlink>
    </w:p>
    <w:p w:rsidR="00067817" w:rsidRPr="001C4E84" w:rsidRDefault="00067817" w:rsidP="00067817">
      <w:pPr>
        <w:pStyle w:val="NormalWeb"/>
      </w:pPr>
      <w:r w:rsidRPr="001C4E84">
        <w:rPr>
          <w:b/>
          <w:bCs/>
        </w:rPr>
        <w:t>Markedsrenten bliver sat hver eneste dag på finansmark</w:t>
      </w:r>
      <w:r>
        <w:rPr>
          <w:b/>
          <w:bCs/>
        </w:rPr>
        <w:t>edet. Derudover sætter Danmarks</w:t>
      </w:r>
      <w:r w:rsidRPr="001C4E84">
        <w:rPr>
          <w:b/>
          <w:bCs/>
        </w:rPr>
        <w:t xml:space="preserve"> Nationalbank pengemarkedsrenter som led i pengepolitikken.</w:t>
      </w:r>
    </w:p>
    <w:p w:rsidR="00067817" w:rsidRPr="001C4E84" w:rsidRDefault="00067817" w:rsidP="00067817">
      <w:pPr>
        <w:pStyle w:val="NormalWeb"/>
      </w:pPr>
      <w:r w:rsidRPr="001C4E84">
        <w:t>Generelt afspejler markedsrenter, hvad en långiver er villig til at låne sine penge ud til, og hvad en låntager er parat til at betale for et lån. Markedsrenter bliver derfor fastsat på et frit marked, hvor udbud møder efterspørgsel. Rentens størrelse afhænger af faktorer som eksempelvis kreditrisiko og løbetid. Markedsrenten er derfor ikke en entydig størrelse, eftersom kreditrisiko og løbetid ikke er den samme for alle lån.</w:t>
      </w:r>
    </w:p>
    <w:p w:rsidR="00067817" w:rsidRPr="001C4E84" w:rsidRDefault="00067817" w:rsidP="00067817">
      <w:pPr>
        <w:pStyle w:val="NormalWeb"/>
      </w:pPr>
      <w:r w:rsidRPr="001C4E84">
        <w:t>Når man taler om markedsrenten uden nærmere at komme ind på, hvilken der er tale om, er det en slags gennemsnitlig betragtning. Hvis man for eksempel siger, at markedsrenten er steget, er det typisk et udtryk for, at den er steget generelt på alle - eller de fleste - områder.</w:t>
      </w:r>
    </w:p>
    <w:p w:rsidR="00067817" w:rsidRPr="001C4E84" w:rsidRDefault="00067817" w:rsidP="00067817">
      <w:pPr>
        <w:pStyle w:val="NormalWeb"/>
      </w:pPr>
      <w:r w:rsidRPr="001C4E84">
        <w:t>Markedsrenter kan grupperes efter løbetiden på udlånet eller investeringen i:</w:t>
      </w:r>
    </w:p>
    <w:p w:rsidR="00067817" w:rsidRPr="001C4E84" w:rsidRDefault="00067817" w:rsidP="00067817">
      <w:pPr>
        <w:numPr>
          <w:ilvl w:val="0"/>
          <w:numId w:val="1"/>
        </w:numPr>
        <w:spacing w:before="100" w:beforeAutospacing="1" w:after="100" w:afterAutospacing="1" w:line="240" w:lineRule="auto"/>
      </w:pPr>
      <w:r w:rsidRPr="001C4E84">
        <w:t>Kort rente - ved løbetider på op til 1 år</w:t>
      </w:r>
    </w:p>
    <w:p w:rsidR="00067817" w:rsidRPr="001C4E84" w:rsidRDefault="00067817" w:rsidP="00067817">
      <w:pPr>
        <w:numPr>
          <w:ilvl w:val="0"/>
          <w:numId w:val="1"/>
        </w:numPr>
        <w:spacing w:before="100" w:beforeAutospacing="1" w:after="100" w:afterAutospacing="1" w:line="240" w:lineRule="auto"/>
      </w:pPr>
      <w:r w:rsidRPr="001C4E84">
        <w:t>Lang rente - ved løbetider, der overstiger 1 år.</w:t>
      </w:r>
    </w:p>
    <w:p w:rsidR="00067817" w:rsidRPr="001C4E84" w:rsidRDefault="00067817" w:rsidP="00067817">
      <w:pPr>
        <w:pStyle w:val="NormalWeb"/>
      </w:pPr>
      <w:r w:rsidRPr="001C4E84">
        <w:t>Markedsrenter kan overordnet opdeles i pengemarkedsrenter og markedsrenter på obligationer.</w:t>
      </w:r>
    </w:p>
    <w:p w:rsidR="00067817" w:rsidRPr="001C4E84" w:rsidRDefault="00067817" w:rsidP="00067817">
      <w:pPr>
        <w:pStyle w:val="Overskrift3"/>
      </w:pPr>
      <w:r w:rsidRPr="001C4E84">
        <w:t>Pengemarkedsrenter</w:t>
      </w:r>
    </w:p>
    <w:p w:rsidR="00067817" w:rsidRDefault="00067817" w:rsidP="00067817">
      <w:pPr>
        <w:pStyle w:val="NormalWeb"/>
        <w:rPr>
          <w:lang w:val="en"/>
        </w:rPr>
      </w:pPr>
      <w:r w:rsidRPr="001C4E84">
        <w:t xml:space="preserve">Nogle af pengemarkedsrenterne er officielle renter, som fastsættes af Nationalbanken. </w:t>
      </w:r>
      <w:proofErr w:type="spellStart"/>
      <w:r>
        <w:rPr>
          <w:lang w:val="en"/>
        </w:rPr>
        <w:t>Det</w:t>
      </w:r>
      <w:proofErr w:type="spellEnd"/>
      <w:r>
        <w:rPr>
          <w:lang w:val="en"/>
        </w:rPr>
        <w:t xml:space="preserve"> </w:t>
      </w:r>
      <w:proofErr w:type="spellStart"/>
      <w:r>
        <w:rPr>
          <w:lang w:val="en"/>
        </w:rPr>
        <w:t>gælder</w:t>
      </w:r>
      <w:proofErr w:type="spellEnd"/>
      <w:r>
        <w:rPr>
          <w:lang w:val="en"/>
        </w:rPr>
        <w:t xml:space="preserve"> </w:t>
      </w:r>
      <w:proofErr w:type="spellStart"/>
      <w:r>
        <w:rPr>
          <w:lang w:val="en"/>
        </w:rPr>
        <w:t>fx</w:t>
      </w:r>
      <w:proofErr w:type="spellEnd"/>
      <w:r>
        <w:rPr>
          <w:lang w:val="en"/>
        </w:rPr>
        <w:t>:</w:t>
      </w:r>
    </w:p>
    <w:p w:rsidR="00067817" w:rsidRDefault="00067817" w:rsidP="00067817">
      <w:pPr>
        <w:numPr>
          <w:ilvl w:val="0"/>
          <w:numId w:val="2"/>
        </w:numPr>
        <w:spacing w:before="100" w:beforeAutospacing="1" w:after="100" w:afterAutospacing="1" w:line="240" w:lineRule="auto"/>
        <w:rPr>
          <w:lang w:val="en"/>
        </w:rPr>
      </w:pPr>
      <w:proofErr w:type="spellStart"/>
      <w:r>
        <w:rPr>
          <w:lang w:val="en"/>
        </w:rPr>
        <w:t>Diskontoen</w:t>
      </w:r>
      <w:proofErr w:type="spellEnd"/>
      <w:r>
        <w:rPr>
          <w:lang w:val="en"/>
        </w:rPr>
        <w:t xml:space="preserve">, </w:t>
      </w:r>
      <w:proofErr w:type="spellStart"/>
      <w:r>
        <w:rPr>
          <w:lang w:val="en"/>
        </w:rPr>
        <w:t>som</w:t>
      </w:r>
      <w:proofErr w:type="spellEnd"/>
      <w:r>
        <w:rPr>
          <w:lang w:val="en"/>
        </w:rPr>
        <w:t xml:space="preserve"> </w:t>
      </w:r>
      <w:proofErr w:type="spellStart"/>
      <w:r>
        <w:rPr>
          <w:lang w:val="en"/>
        </w:rPr>
        <w:t>er</w:t>
      </w:r>
      <w:proofErr w:type="spellEnd"/>
      <w:r>
        <w:rPr>
          <w:lang w:val="en"/>
        </w:rPr>
        <w:t xml:space="preserve"> </w:t>
      </w:r>
      <w:proofErr w:type="spellStart"/>
      <w:r>
        <w:rPr>
          <w:lang w:val="en"/>
        </w:rPr>
        <w:t>Nationalbankens</w:t>
      </w:r>
      <w:proofErr w:type="spellEnd"/>
      <w:r>
        <w:rPr>
          <w:lang w:val="en"/>
        </w:rPr>
        <w:t xml:space="preserve"> </w:t>
      </w:r>
      <w:proofErr w:type="spellStart"/>
      <w:r>
        <w:rPr>
          <w:lang w:val="en"/>
        </w:rPr>
        <w:t>indlånsrente</w:t>
      </w:r>
      <w:proofErr w:type="spellEnd"/>
    </w:p>
    <w:p w:rsidR="00067817" w:rsidRPr="001C4E84" w:rsidRDefault="00067817" w:rsidP="00067817">
      <w:pPr>
        <w:numPr>
          <w:ilvl w:val="0"/>
          <w:numId w:val="2"/>
        </w:numPr>
        <w:spacing w:before="100" w:beforeAutospacing="1" w:after="100" w:afterAutospacing="1" w:line="240" w:lineRule="auto"/>
      </w:pPr>
      <w:r w:rsidRPr="001C4E84">
        <w:t>7-dages renten, som er Nationalbankens udlånsrente.</w:t>
      </w:r>
    </w:p>
    <w:p w:rsidR="00067817" w:rsidRPr="001C4E84" w:rsidRDefault="00067817" w:rsidP="00067817">
      <w:pPr>
        <w:pStyle w:val="NormalWeb"/>
      </w:pPr>
      <w:r w:rsidRPr="001C4E84">
        <w:t>De officielle renter er retningsgivende for den korte markedsrente, herunder for den rente, som pengeinstitutterne anvender indbyrdes. De officielle renter bliver derfor også kaldet referencerenter.</w:t>
      </w:r>
    </w:p>
    <w:p w:rsidR="00067817" w:rsidRPr="00067817" w:rsidRDefault="00067817" w:rsidP="00067817">
      <w:pPr>
        <w:pStyle w:val="NormalWeb"/>
      </w:pPr>
      <w:r w:rsidRPr="001C4E84">
        <w:lastRenderedPageBreak/>
        <w:t xml:space="preserve">Finansrådet er ansvarlig for referencerentesatserne, som benyttes ved lån imellem pengeinstitutterne indbyrdes. </w:t>
      </w:r>
      <w:r w:rsidRPr="00067817">
        <w:t>Referencerenterne opgøres dagligt og offentliggøres følgende steder:</w:t>
      </w:r>
    </w:p>
    <w:p w:rsidR="00067817" w:rsidRPr="00067817" w:rsidRDefault="00067817" w:rsidP="00067817">
      <w:pPr>
        <w:pStyle w:val="NormalWeb"/>
      </w:pPr>
      <w:r w:rsidRPr="00067817">
        <w:rPr>
          <w:b/>
          <w:bCs/>
        </w:rPr>
        <w:t>Nationalbankens hjemmeside:</w:t>
      </w:r>
    </w:p>
    <w:p w:rsidR="00067817" w:rsidRDefault="00067817" w:rsidP="00067817">
      <w:pPr>
        <w:numPr>
          <w:ilvl w:val="0"/>
          <w:numId w:val="3"/>
        </w:numPr>
        <w:spacing w:before="100" w:beforeAutospacing="1" w:after="100" w:afterAutospacing="1" w:line="240" w:lineRule="auto"/>
        <w:rPr>
          <w:lang w:val="en"/>
        </w:rPr>
      </w:pPr>
      <w:r w:rsidRPr="001C4E84">
        <w:t xml:space="preserve">Dag-til-dag renten (T/N), som er renten for lån fra den ene bankdag til den næste. </w:t>
      </w:r>
      <w:proofErr w:type="spellStart"/>
      <w:r>
        <w:rPr>
          <w:lang w:val="en"/>
        </w:rPr>
        <w:t>Diskontoen</w:t>
      </w:r>
      <w:proofErr w:type="spellEnd"/>
      <w:r>
        <w:rPr>
          <w:lang w:val="en"/>
        </w:rPr>
        <w:t xml:space="preserve"> </w:t>
      </w:r>
      <w:proofErr w:type="spellStart"/>
      <w:r>
        <w:rPr>
          <w:lang w:val="en"/>
        </w:rPr>
        <w:t>danner</w:t>
      </w:r>
      <w:proofErr w:type="spellEnd"/>
      <w:r>
        <w:rPr>
          <w:lang w:val="en"/>
        </w:rPr>
        <w:t xml:space="preserve"> </w:t>
      </w:r>
      <w:proofErr w:type="spellStart"/>
      <w:r>
        <w:rPr>
          <w:lang w:val="en"/>
        </w:rPr>
        <w:t>en</w:t>
      </w:r>
      <w:proofErr w:type="spellEnd"/>
      <w:r>
        <w:rPr>
          <w:lang w:val="en"/>
        </w:rPr>
        <w:t xml:space="preserve"> </w:t>
      </w:r>
      <w:proofErr w:type="spellStart"/>
      <w:r>
        <w:rPr>
          <w:lang w:val="en"/>
        </w:rPr>
        <w:t>nedre</w:t>
      </w:r>
      <w:proofErr w:type="spellEnd"/>
      <w:r>
        <w:rPr>
          <w:lang w:val="en"/>
        </w:rPr>
        <w:t xml:space="preserve"> </w:t>
      </w:r>
      <w:proofErr w:type="spellStart"/>
      <w:r>
        <w:rPr>
          <w:lang w:val="en"/>
        </w:rPr>
        <w:t>grænse</w:t>
      </w:r>
      <w:proofErr w:type="spellEnd"/>
      <w:r>
        <w:rPr>
          <w:lang w:val="en"/>
        </w:rPr>
        <w:t xml:space="preserve"> for </w:t>
      </w:r>
      <w:proofErr w:type="spellStart"/>
      <w:r>
        <w:rPr>
          <w:lang w:val="en"/>
        </w:rPr>
        <w:t>denne</w:t>
      </w:r>
      <w:proofErr w:type="spellEnd"/>
      <w:r>
        <w:rPr>
          <w:lang w:val="en"/>
        </w:rPr>
        <w:t xml:space="preserve"> </w:t>
      </w:r>
      <w:proofErr w:type="spellStart"/>
      <w:r>
        <w:rPr>
          <w:lang w:val="en"/>
        </w:rPr>
        <w:t>rente</w:t>
      </w:r>
      <w:proofErr w:type="spellEnd"/>
      <w:r>
        <w:rPr>
          <w:lang w:val="en"/>
        </w:rPr>
        <w:t>.</w:t>
      </w:r>
    </w:p>
    <w:p w:rsidR="00067817" w:rsidRDefault="00067817" w:rsidP="00067817">
      <w:pPr>
        <w:pStyle w:val="NormalWeb"/>
        <w:rPr>
          <w:lang w:val="en"/>
        </w:rPr>
      </w:pPr>
      <w:r>
        <w:rPr>
          <w:b/>
          <w:bCs/>
          <w:lang w:val="en"/>
        </w:rPr>
        <w:t xml:space="preserve">Nasdaq </w:t>
      </w:r>
      <w:proofErr w:type="spellStart"/>
      <w:r>
        <w:rPr>
          <w:b/>
          <w:bCs/>
          <w:lang w:val="en"/>
        </w:rPr>
        <w:t>Omx</w:t>
      </w:r>
      <w:proofErr w:type="spellEnd"/>
      <w:r>
        <w:rPr>
          <w:b/>
          <w:bCs/>
          <w:lang w:val="en"/>
        </w:rPr>
        <w:t xml:space="preserve"> </w:t>
      </w:r>
      <w:proofErr w:type="spellStart"/>
      <w:r>
        <w:rPr>
          <w:b/>
          <w:bCs/>
          <w:lang w:val="en"/>
        </w:rPr>
        <w:t>hjemmeside</w:t>
      </w:r>
      <w:proofErr w:type="spellEnd"/>
      <w:r>
        <w:rPr>
          <w:b/>
          <w:bCs/>
          <w:lang w:val="en"/>
        </w:rPr>
        <w:t>:</w:t>
      </w:r>
    </w:p>
    <w:p w:rsidR="00067817" w:rsidRDefault="00067817" w:rsidP="00067817">
      <w:pPr>
        <w:numPr>
          <w:ilvl w:val="0"/>
          <w:numId w:val="4"/>
        </w:numPr>
        <w:spacing w:before="100" w:beforeAutospacing="1" w:after="100" w:afterAutospacing="1" w:line="240" w:lineRule="auto"/>
        <w:rPr>
          <w:lang w:val="en"/>
        </w:rPr>
      </w:pPr>
      <w:proofErr w:type="spellStart"/>
      <w:r w:rsidRPr="001C4E84">
        <w:t>Cibor</w:t>
      </w:r>
      <w:proofErr w:type="spellEnd"/>
      <w:r w:rsidRPr="001C4E84">
        <w:t xml:space="preserve"> - Copenhagen </w:t>
      </w:r>
      <w:proofErr w:type="spellStart"/>
      <w:r w:rsidRPr="001C4E84">
        <w:t>InterBank</w:t>
      </w:r>
      <w:proofErr w:type="spellEnd"/>
      <w:r w:rsidRPr="001C4E84">
        <w:t xml:space="preserve"> Offered Rates - som er renten for udlån i perioder fra 1 uge og op til 12 måneder. Der findes </w:t>
      </w:r>
      <w:proofErr w:type="spellStart"/>
      <w:r w:rsidRPr="001C4E84">
        <w:t>Cibor</w:t>
      </w:r>
      <w:proofErr w:type="spellEnd"/>
      <w:r w:rsidRPr="001C4E84">
        <w:t xml:space="preserve">-rentesatser for 1 uge, 2 uger, 1 måned, 2 måneder, 3 måneder, 4 måneder, 5 måneder, 6 måneder, 7 måneder, 8 måneder, 9 måneder, 10 måneder, 11 måneder og 12 måneder. </w:t>
      </w:r>
      <w:proofErr w:type="spellStart"/>
      <w:r>
        <w:rPr>
          <w:lang w:val="en"/>
        </w:rPr>
        <w:t>Nationalbankens</w:t>
      </w:r>
      <w:proofErr w:type="spellEnd"/>
      <w:r>
        <w:rPr>
          <w:lang w:val="en"/>
        </w:rPr>
        <w:t xml:space="preserve"> 7-dagesrente </w:t>
      </w:r>
      <w:proofErr w:type="spellStart"/>
      <w:r>
        <w:rPr>
          <w:lang w:val="en"/>
        </w:rPr>
        <w:t>er</w:t>
      </w:r>
      <w:proofErr w:type="spellEnd"/>
      <w:r>
        <w:rPr>
          <w:lang w:val="en"/>
        </w:rPr>
        <w:t xml:space="preserve"> </w:t>
      </w:r>
      <w:proofErr w:type="spellStart"/>
      <w:r>
        <w:rPr>
          <w:lang w:val="en"/>
        </w:rPr>
        <w:t>retningsgivende</w:t>
      </w:r>
      <w:proofErr w:type="spellEnd"/>
      <w:r>
        <w:rPr>
          <w:lang w:val="en"/>
        </w:rPr>
        <w:t xml:space="preserve"> for </w:t>
      </w:r>
      <w:proofErr w:type="spellStart"/>
      <w:r>
        <w:rPr>
          <w:lang w:val="en"/>
        </w:rPr>
        <w:t>Cibor</w:t>
      </w:r>
      <w:proofErr w:type="spellEnd"/>
      <w:r>
        <w:rPr>
          <w:lang w:val="en"/>
        </w:rPr>
        <w:t>.</w:t>
      </w:r>
    </w:p>
    <w:p w:rsidR="00067817" w:rsidRDefault="00067817" w:rsidP="00067817">
      <w:pPr>
        <w:pStyle w:val="Overskrift3"/>
        <w:rPr>
          <w:lang w:val="en"/>
        </w:rPr>
      </w:pPr>
      <w:proofErr w:type="spellStart"/>
      <w:r>
        <w:rPr>
          <w:lang w:val="en"/>
        </w:rPr>
        <w:t>Markedsrenten</w:t>
      </w:r>
      <w:proofErr w:type="spellEnd"/>
      <w:r>
        <w:rPr>
          <w:lang w:val="en"/>
        </w:rPr>
        <w:t xml:space="preserve"> </w:t>
      </w:r>
      <w:proofErr w:type="spellStart"/>
      <w:r>
        <w:rPr>
          <w:lang w:val="en"/>
        </w:rPr>
        <w:t>på</w:t>
      </w:r>
      <w:proofErr w:type="spellEnd"/>
      <w:r>
        <w:rPr>
          <w:lang w:val="en"/>
        </w:rPr>
        <w:t xml:space="preserve"> </w:t>
      </w:r>
      <w:proofErr w:type="spellStart"/>
      <w:r>
        <w:rPr>
          <w:lang w:val="en"/>
        </w:rPr>
        <w:t>obligationer</w:t>
      </w:r>
      <w:proofErr w:type="spellEnd"/>
    </w:p>
    <w:p w:rsidR="00067817" w:rsidRPr="001C4E84" w:rsidRDefault="00067817" w:rsidP="00067817">
      <w:pPr>
        <w:pStyle w:val="NormalWeb"/>
      </w:pPr>
      <w:r w:rsidRPr="001C4E84">
        <w:t>På samme måde som for pengemarkedsrenten er Nationalbankens rentefastsættelse - mere indirekte - udgangspunkt for den rente, som investorer i obligationer kræver. Når de vurderer investeringen, spiller det ind, hvor høj en rente de ville kunne opnå, hvis de i stedet indsatte pengene på en indlånskonto i et pengeinstitut. Dertil kommer øvrige faktorer, der er med til at præge markedsrenten på obligationer, så som kreditrisikoen og hvor lang tid pengene bindes. Se mere herom under ”</w:t>
      </w:r>
      <w:hyperlink r:id="rId6" w:history="1">
        <w:r w:rsidRPr="001C4E84">
          <w:rPr>
            <w:rStyle w:val="Hyperlink"/>
            <w:rFonts w:eastAsiaTheme="majorEastAsia"/>
          </w:rPr>
          <w:t>Kursdannelse</w:t>
        </w:r>
      </w:hyperlink>
      <w:r w:rsidRPr="001C4E84">
        <w:t>”.</w:t>
      </w:r>
    </w:p>
    <w:p w:rsidR="00067817" w:rsidRDefault="00067817" w:rsidP="00067817">
      <w:hyperlink r:id="rId7" w:history="1">
        <w:r w:rsidRPr="00CE60DE">
          <w:rPr>
            <w:rStyle w:val="Hyperlink"/>
          </w:rPr>
          <w:t>http://www.realkreditraadet.dk/Realkreditl%C3%A5n/Renter_og_kurser/Rentefasts%C3%A6ttelse.aspx</w:t>
        </w:r>
      </w:hyperlink>
    </w:p>
    <w:p w:rsidR="00067817" w:rsidRDefault="00067817">
      <w:r>
        <w:br w:type="page"/>
      </w:r>
    </w:p>
    <w:p w:rsidR="00067817" w:rsidRDefault="000D0055" w:rsidP="00DD2D89">
      <w:pPr>
        <w:shd w:val="clear" w:color="auto" w:fill="FFFFFF"/>
        <w:spacing w:after="240" w:line="240" w:lineRule="auto"/>
        <w:rPr>
          <w:rFonts w:ascii="Arial" w:eastAsia="Times New Roman" w:hAnsi="Arial" w:cs="Arial"/>
          <w:color w:val="333333"/>
          <w:sz w:val="20"/>
          <w:szCs w:val="20"/>
          <w:lang w:eastAsia="da-DK"/>
        </w:rPr>
      </w:pPr>
      <w:r w:rsidRPr="00067817">
        <w:rPr>
          <w:rFonts w:ascii="Arial" w:eastAsia="Times New Roman" w:hAnsi="Arial" w:cs="Arial"/>
          <w:b/>
          <w:color w:val="333333"/>
          <w:sz w:val="24"/>
          <w:szCs w:val="20"/>
          <w:lang w:eastAsia="da-DK"/>
        </w:rPr>
        <w:lastRenderedPageBreak/>
        <w:t>Hvor kan man finde markedsrenten?</w:t>
      </w:r>
      <w:r w:rsidRPr="00067817">
        <w:rPr>
          <w:rFonts w:ascii="Arial" w:eastAsia="Times New Roman" w:hAnsi="Arial" w:cs="Arial"/>
          <w:color w:val="333333"/>
          <w:sz w:val="24"/>
          <w:szCs w:val="20"/>
          <w:lang w:eastAsia="da-DK"/>
        </w:rPr>
        <w:t xml:space="preserve"> </w:t>
      </w:r>
    </w:p>
    <w:p w:rsidR="000D0055" w:rsidRDefault="000D0055" w:rsidP="00DD2D89">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Kan man finde den på nettet? Gå ned i banken og spørg om hvad markedsrenten ligger på!</w:t>
      </w:r>
    </w:p>
    <w:p w:rsidR="000D0055" w:rsidRDefault="000D0055" w:rsidP="000D0055">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Som man råber i skoven får man svar?</w:t>
      </w:r>
    </w:p>
    <w:p w:rsidR="000D0055" w:rsidRDefault="000D0055" w:rsidP="000D0055">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 xml:space="preserve">Hvad koster en frugt? </w:t>
      </w:r>
    </w:p>
    <w:p w:rsidR="000D0055" w:rsidRDefault="000D0055" w:rsidP="000D0055">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Hvad koster en bil?</w:t>
      </w:r>
    </w:p>
    <w:p w:rsidR="000D0055" w:rsidRDefault="000D0055" w:rsidP="000D0055">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Hvad koster et hus?</w:t>
      </w:r>
    </w:p>
    <w:p w:rsidR="000D0055" w:rsidRDefault="000D0055" w:rsidP="000D0055">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 xml:space="preserve">Hvad koster penge? </w:t>
      </w:r>
    </w:p>
    <w:p w:rsidR="000D0055" w:rsidRDefault="000D0055" w:rsidP="000D0055">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VRØVL. TUMPE – DUMPE – TRUNTE – DRONTE</w:t>
      </w:r>
    </w:p>
    <w:p w:rsidR="000D0055" w:rsidRDefault="000D0055" w:rsidP="000D0055">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Der er mange forskellige renter</w:t>
      </w:r>
      <w:r>
        <w:rPr>
          <w:rFonts w:ascii="Arial" w:eastAsia="Times New Roman" w:hAnsi="Arial" w:cs="Arial"/>
          <w:color w:val="333333"/>
          <w:sz w:val="20"/>
          <w:szCs w:val="20"/>
          <w:lang w:eastAsia="da-DK"/>
        </w:rPr>
        <w:t>. Du må være mere specifik.</w:t>
      </w:r>
    </w:p>
    <w:p w:rsidR="000D0055" w:rsidRDefault="000D0055" w:rsidP="00DD2D89">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Her er et bud. På hvordan vi løser problemet med markedsrenten</w:t>
      </w:r>
    </w:p>
    <w:p w:rsidR="00DD2D89" w:rsidRDefault="00DD2D89" w:rsidP="00DD2D89">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 xml:space="preserve">Hvad er prisen på penge? Hvad skal man kræve i forrentning? Det afhænger af risikoen, </w:t>
      </w:r>
    </w:p>
    <w:p w:rsidR="00DD2D89" w:rsidRDefault="00DD2D89" w:rsidP="00DD2D89">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Man kan starte med at få defineret den risikofri rente. Det kan være renten på en 10-årig statsobligation</w:t>
      </w:r>
      <w:r w:rsidR="00386F27">
        <w:rPr>
          <w:rFonts w:ascii="Arial" w:eastAsia="Times New Roman" w:hAnsi="Arial" w:cs="Arial"/>
          <w:color w:val="333333"/>
          <w:sz w:val="20"/>
          <w:szCs w:val="20"/>
          <w:lang w:eastAsia="da-DK"/>
        </w:rPr>
        <w:t xml:space="preserve"> Den ligger pt. lige omkring 2% i USA og Danmark (1,75%)</w:t>
      </w:r>
    </w:p>
    <w:p w:rsidR="00386F27" w:rsidRPr="00067817" w:rsidRDefault="00DD2D89" w:rsidP="00067817">
      <w:pPr>
        <w:shd w:val="clear" w:color="auto" w:fill="FFFFFF"/>
        <w:spacing w:after="240" w:line="240" w:lineRule="auto"/>
        <w:rPr>
          <w:rFonts w:ascii="Arial" w:eastAsia="Times New Roman" w:hAnsi="Arial" w:cs="Arial"/>
          <w:color w:val="333333"/>
          <w:sz w:val="20"/>
          <w:szCs w:val="20"/>
          <w:lang w:eastAsia="da-DK"/>
        </w:rPr>
      </w:pPr>
      <w:r>
        <w:rPr>
          <w:rFonts w:ascii="Arial" w:eastAsia="Times New Roman" w:hAnsi="Arial" w:cs="Arial"/>
          <w:color w:val="333333"/>
          <w:sz w:val="20"/>
          <w:szCs w:val="20"/>
          <w:lang w:eastAsia="da-DK"/>
        </w:rPr>
        <w:t xml:space="preserve">Derefter skal der tillægges et risikotillæg, afhængig af branche og </w:t>
      </w:r>
      <w:proofErr w:type="spellStart"/>
      <w:r>
        <w:rPr>
          <w:rFonts w:ascii="Arial" w:eastAsia="Times New Roman" w:hAnsi="Arial" w:cs="Arial"/>
          <w:color w:val="333333"/>
          <w:sz w:val="20"/>
          <w:szCs w:val="20"/>
          <w:lang w:eastAsia="da-DK"/>
        </w:rPr>
        <w:t>volatiliteten</w:t>
      </w:r>
      <w:proofErr w:type="spellEnd"/>
      <w:r>
        <w:rPr>
          <w:rFonts w:ascii="Arial" w:eastAsia="Times New Roman" w:hAnsi="Arial" w:cs="Arial"/>
          <w:color w:val="333333"/>
          <w:sz w:val="20"/>
          <w:szCs w:val="20"/>
          <w:lang w:eastAsia="da-DK"/>
        </w:rPr>
        <w:t xml:space="preserve"> for den givne virksomhed. </w:t>
      </w:r>
      <w:r w:rsidR="00067817">
        <w:rPr>
          <w:rFonts w:ascii="Arial" w:eastAsia="Times New Roman" w:hAnsi="Arial" w:cs="Arial"/>
          <w:color w:val="333333"/>
          <w:sz w:val="20"/>
          <w:szCs w:val="20"/>
          <w:lang w:eastAsia="da-DK"/>
        </w:rPr>
        <w:t>Her bliver det svært det kræver at vi sammenligner f.eks. Carlsberg med andre virksomheder i samme branche og med samme systematiske risiko (betaværdi = risikomål). Nedenfor er et eksempel på forskellige rentesatser som man kan sammenligne med.</w:t>
      </w:r>
    </w:p>
    <w:p w:rsidR="00386F27" w:rsidRDefault="00386F27"/>
    <w:p w:rsidR="00067817" w:rsidRDefault="00067817">
      <w:r>
        <w:br w:type="page"/>
      </w:r>
    </w:p>
    <w:p w:rsidR="00386F27" w:rsidRDefault="00386F27">
      <w:r>
        <w:lastRenderedPageBreak/>
        <w:t xml:space="preserve">Her er en liste over forskellige renter som er hentet fra kilder på nettet. (se </w:t>
      </w:r>
      <w:proofErr w:type="spellStart"/>
      <w:r>
        <w:t>excelfil</w:t>
      </w:r>
      <w:proofErr w:type="spellEnd"/>
      <w:r>
        <w:t>) med rentesatser</w:t>
      </w:r>
    </w:p>
    <w:tbl>
      <w:tblPr>
        <w:tblW w:w="6760" w:type="dxa"/>
        <w:tblInd w:w="80" w:type="dxa"/>
        <w:tblCellMar>
          <w:left w:w="70" w:type="dxa"/>
          <w:right w:w="70" w:type="dxa"/>
        </w:tblCellMar>
        <w:tblLook w:val="04A0" w:firstRow="1" w:lastRow="0" w:firstColumn="1" w:lastColumn="0" w:noHBand="0" w:noVBand="1"/>
      </w:tblPr>
      <w:tblGrid>
        <w:gridCol w:w="5180"/>
        <w:gridCol w:w="1580"/>
      </w:tblGrid>
      <w:tr w:rsidR="00386F27" w:rsidRPr="00386F27" w:rsidTr="00386F27">
        <w:trPr>
          <w:trHeight w:val="375"/>
        </w:trPr>
        <w:tc>
          <w:tcPr>
            <w:tcW w:w="5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b/>
                <w:bCs/>
                <w:color w:val="000000"/>
                <w:sz w:val="28"/>
                <w:szCs w:val="28"/>
                <w:lang w:eastAsia="da-DK"/>
              </w:rPr>
            </w:pPr>
            <w:r w:rsidRPr="00386F27">
              <w:rPr>
                <w:rFonts w:ascii="Calibri" w:eastAsia="Times New Roman" w:hAnsi="Calibri" w:cs="Times New Roman"/>
                <w:b/>
                <w:bCs/>
                <w:color w:val="000000"/>
                <w:sz w:val="28"/>
                <w:szCs w:val="28"/>
                <w:lang w:eastAsia="da-DK"/>
              </w:rPr>
              <w:t>Lån / Pengebinding</w:t>
            </w:r>
          </w:p>
        </w:tc>
        <w:tc>
          <w:tcPr>
            <w:tcW w:w="1580" w:type="dxa"/>
            <w:tcBorders>
              <w:top w:val="single" w:sz="8" w:space="0" w:color="auto"/>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b/>
                <w:bCs/>
                <w:color w:val="000000"/>
                <w:sz w:val="28"/>
                <w:szCs w:val="28"/>
                <w:lang w:eastAsia="da-DK"/>
              </w:rPr>
            </w:pPr>
            <w:r w:rsidRPr="00386F27">
              <w:rPr>
                <w:rFonts w:ascii="Calibri" w:eastAsia="Times New Roman" w:hAnsi="Calibri" w:cs="Times New Roman"/>
                <w:b/>
                <w:bCs/>
                <w:color w:val="000000"/>
                <w:sz w:val="28"/>
                <w:szCs w:val="28"/>
                <w:lang w:eastAsia="da-DK"/>
              </w:rPr>
              <w:t>Rentesats</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Novo forrentning  10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24,00%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Novo forrentning  5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23,00%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proofErr w:type="spellStart"/>
            <w:r w:rsidRPr="00386F27">
              <w:rPr>
                <w:rFonts w:ascii="Calibri" w:eastAsia="Times New Roman" w:hAnsi="Calibri" w:cs="Times New Roman"/>
                <w:color w:val="000000"/>
                <w:lang w:eastAsia="da-DK"/>
              </w:rPr>
              <w:t>IKANObank</w:t>
            </w:r>
            <w:proofErr w:type="spellEnd"/>
            <w:r w:rsidRPr="00386F27">
              <w:rPr>
                <w:rFonts w:ascii="Calibri" w:eastAsia="Times New Roman" w:hAnsi="Calibri" w:cs="Times New Roman"/>
                <w:color w:val="000000"/>
                <w:lang w:eastAsia="da-DK"/>
              </w:rPr>
              <w:t>, samlelån</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22,80%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OMX C20 3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19,00%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Novo forrentning  1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18,00%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proofErr w:type="spellStart"/>
            <w:r w:rsidRPr="00386F27">
              <w:rPr>
                <w:rFonts w:ascii="Calibri" w:eastAsia="Times New Roman" w:hAnsi="Calibri" w:cs="Times New Roman"/>
                <w:color w:val="000000"/>
                <w:lang w:eastAsia="da-DK"/>
              </w:rPr>
              <w:t>IKANObank</w:t>
            </w:r>
            <w:proofErr w:type="spellEnd"/>
            <w:r w:rsidRPr="00386F27">
              <w:rPr>
                <w:rFonts w:ascii="Calibri" w:eastAsia="Times New Roman" w:hAnsi="Calibri" w:cs="Times New Roman"/>
                <w:color w:val="000000"/>
                <w:lang w:eastAsia="da-DK"/>
              </w:rPr>
              <w:t>, sololån</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18,00%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Novo forrentning  3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17,00%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OMX C20 5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15,00%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 xml:space="preserve">kassekredit </w:t>
            </w:r>
            <w:proofErr w:type="spellStart"/>
            <w:r w:rsidRPr="00386F27">
              <w:rPr>
                <w:rFonts w:ascii="Calibri" w:eastAsia="Times New Roman" w:hAnsi="Calibri" w:cs="Times New Roman"/>
                <w:color w:val="000000"/>
                <w:lang w:eastAsia="da-DK"/>
              </w:rPr>
              <w:t>sydbank</w:t>
            </w:r>
            <w:proofErr w:type="spellEnd"/>
            <w:r w:rsidRPr="00386F27">
              <w:rPr>
                <w:rFonts w:ascii="Calibri" w:eastAsia="Times New Roman" w:hAnsi="Calibri" w:cs="Times New Roman"/>
                <w:color w:val="000000"/>
                <w:lang w:eastAsia="da-DK"/>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10,30%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USA S&amp;P 500</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10,00%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proofErr w:type="spellStart"/>
            <w:r w:rsidRPr="00386F27">
              <w:rPr>
                <w:rFonts w:ascii="Calibri" w:eastAsia="Times New Roman" w:hAnsi="Calibri" w:cs="Times New Roman"/>
                <w:color w:val="000000"/>
                <w:lang w:eastAsia="da-DK"/>
              </w:rPr>
              <w:t>Satander</w:t>
            </w:r>
            <w:proofErr w:type="spellEnd"/>
            <w:r w:rsidRPr="00386F27">
              <w:rPr>
                <w:rFonts w:ascii="Calibri" w:eastAsia="Times New Roman" w:hAnsi="Calibri" w:cs="Times New Roman"/>
                <w:color w:val="000000"/>
                <w:lang w:eastAsia="da-DK"/>
              </w:rPr>
              <w:t xml:space="preserve"> </w:t>
            </w:r>
            <w:proofErr w:type="spellStart"/>
            <w:r w:rsidRPr="00386F27">
              <w:rPr>
                <w:rFonts w:ascii="Calibri" w:eastAsia="Times New Roman" w:hAnsi="Calibri" w:cs="Times New Roman"/>
                <w:color w:val="000000"/>
                <w:lang w:eastAsia="da-DK"/>
              </w:rPr>
              <w:t>consumerbank</w:t>
            </w:r>
            <w:proofErr w:type="spellEnd"/>
            <w:r w:rsidRPr="00386F27">
              <w:rPr>
                <w:rFonts w:ascii="Calibri" w:eastAsia="Times New Roman" w:hAnsi="Calibri" w:cs="Times New Roman"/>
                <w:color w:val="000000"/>
                <w:lang w:eastAsia="da-DK"/>
              </w:rPr>
              <w:t xml:space="preserve"> </w:t>
            </w:r>
            <w:proofErr w:type="spellStart"/>
            <w:r w:rsidRPr="00386F27">
              <w:rPr>
                <w:rFonts w:ascii="Calibri" w:eastAsia="Times New Roman" w:hAnsi="Calibri" w:cs="Times New Roman"/>
                <w:color w:val="000000"/>
                <w:lang w:eastAsia="da-DK"/>
              </w:rPr>
              <w:t>creditkort</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9,95%</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 xml:space="preserve">Forbrugslån 1, </w:t>
            </w:r>
            <w:proofErr w:type="spellStart"/>
            <w:r w:rsidRPr="00386F27">
              <w:rPr>
                <w:rFonts w:ascii="Calibri" w:eastAsia="Times New Roman" w:hAnsi="Calibri" w:cs="Times New Roman"/>
                <w:color w:val="000000"/>
                <w:lang w:eastAsia="da-DK"/>
              </w:rPr>
              <w:t>sydbank</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9,20%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OMX c20 10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9,00%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OMX C20 1 år /Aktier gennemsnit</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7,54%</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proofErr w:type="spellStart"/>
            <w:r w:rsidRPr="00386F27">
              <w:rPr>
                <w:rFonts w:ascii="Calibri" w:eastAsia="Times New Roman" w:hAnsi="Calibri" w:cs="Times New Roman"/>
                <w:color w:val="000000"/>
                <w:lang w:eastAsia="da-DK"/>
              </w:rPr>
              <w:t>IKANObank</w:t>
            </w:r>
            <w:proofErr w:type="spellEnd"/>
            <w:r w:rsidRPr="00386F27">
              <w:rPr>
                <w:rFonts w:ascii="Calibri" w:eastAsia="Times New Roman" w:hAnsi="Calibri" w:cs="Times New Roman"/>
                <w:color w:val="000000"/>
                <w:lang w:eastAsia="da-DK"/>
              </w:rPr>
              <w:t>, familielån</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7,00%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 xml:space="preserve">Bilfinansiering, </w:t>
            </w:r>
            <w:proofErr w:type="spellStart"/>
            <w:r w:rsidRPr="00386F27">
              <w:rPr>
                <w:rFonts w:ascii="Calibri" w:eastAsia="Times New Roman" w:hAnsi="Calibri" w:cs="Times New Roman"/>
                <w:color w:val="000000"/>
                <w:lang w:eastAsia="da-DK"/>
              </w:rPr>
              <w:t>sydbank</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5,70%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proofErr w:type="spellStart"/>
            <w:r w:rsidRPr="00386F27">
              <w:rPr>
                <w:rFonts w:ascii="Calibri" w:eastAsia="Times New Roman" w:hAnsi="Calibri" w:cs="Times New Roman"/>
                <w:color w:val="000000"/>
                <w:lang w:eastAsia="da-DK"/>
              </w:rPr>
              <w:t>Satander</w:t>
            </w:r>
            <w:proofErr w:type="spellEnd"/>
            <w:r w:rsidRPr="00386F27">
              <w:rPr>
                <w:rFonts w:ascii="Calibri" w:eastAsia="Times New Roman" w:hAnsi="Calibri" w:cs="Times New Roman"/>
                <w:color w:val="000000"/>
                <w:lang w:eastAsia="da-DK"/>
              </w:rPr>
              <w:t xml:space="preserve"> privat plus lån</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4,95%</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 xml:space="preserve">Afkastningsgrad </w:t>
            </w:r>
            <w:r w:rsidR="004069BA">
              <w:rPr>
                <w:rFonts w:ascii="Calibri" w:eastAsia="Times New Roman" w:hAnsi="Calibri" w:cs="Times New Roman"/>
                <w:color w:val="000000"/>
                <w:lang w:eastAsia="da-DK"/>
              </w:rPr>
              <w:t>børsen top 5</w:t>
            </w:r>
            <w:r w:rsidRPr="00386F27">
              <w:rPr>
                <w:rFonts w:ascii="Calibri" w:eastAsia="Times New Roman" w:hAnsi="Calibri" w:cs="Times New Roman"/>
                <w:color w:val="000000"/>
                <w:lang w:eastAsia="da-DK"/>
              </w:rPr>
              <w:t>0 DK</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C71ADE" w:rsidP="00C71ADE">
            <w:pPr>
              <w:spacing w:after="0" w:line="240" w:lineRule="auto"/>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5,75%</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Investering i udlejningsejendom</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4,00%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Realkreditobligation fast rente 30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3,88%</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Realkreditobligation fast rente 20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3,47%</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Realkreditobligation fast rente 10 år</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2,83%</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 xml:space="preserve">10 </w:t>
            </w:r>
            <w:proofErr w:type="spellStart"/>
            <w:r w:rsidRPr="00386F27">
              <w:rPr>
                <w:rFonts w:ascii="Calibri" w:eastAsia="Times New Roman" w:hAnsi="Calibri" w:cs="Times New Roman"/>
                <w:color w:val="000000"/>
                <w:lang w:eastAsia="da-DK"/>
              </w:rPr>
              <w:t>year</w:t>
            </w:r>
            <w:proofErr w:type="spellEnd"/>
            <w:r w:rsidRPr="00386F27">
              <w:rPr>
                <w:rFonts w:ascii="Calibri" w:eastAsia="Times New Roman" w:hAnsi="Calibri" w:cs="Times New Roman"/>
                <w:color w:val="000000"/>
                <w:lang w:eastAsia="da-DK"/>
              </w:rPr>
              <w:t xml:space="preserve"> </w:t>
            </w:r>
            <w:proofErr w:type="spellStart"/>
            <w:r w:rsidRPr="00386F27">
              <w:rPr>
                <w:rFonts w:ascii="Calibri" w:eastAsia="Times New Roman" w:hAnsi="Calibri" w:cs="Times New Roman"/>
                <w:color w:val="000000"/>
                <w:lang w:eastAsia="da-DK"/>
              </w:rPr>
              <w:t>treasury</w:t>
            </w:r>
            <w:proofErr w:type="spellEnd"/>
            <w:r w:rsidRPr="00386F27">
              <w:rPr>
                <w:rFonts w:ascii="Calibri" w:eastAsia="Times New Roman" w:hAnsi="Calibri" w:cs="Times New Roman"/>
                <w:color w:val="000000"/>
                <w:lang w:eastAsia="da-DK"/>
              </w:rPr>
              <w:t xml:space="preserve"> </w:t>
            </w:r>
            <w:proofErr w:type="spellStart"/>
            <w:r w:rsidRPr="00386F27">
              <w:rPr>
                <w:rFonts w:ascii="Calibri" w:eastAsia="Times New Roman" w:hAnsi="Calibri" w:cs="Times New Roman"/>
                <w:color w:val="000000"/>
                <w:lang w:eastAsia="da-DK"/>
              </w:rPr>
              <w:t>bill</w:t>
            </w:r>
            <w:proofErr w:type="spellEnd"/>
            <w:r w:rsidRPr="00386F27">
              <w:rPr>
                <w:rFonts w:ascii="Calibri" w:eastAsia="Times New Roman" w:hAnsi="Calibri" w:cs="Times New Roman"/>
                <w:color w:val="000000"/>
                <w:lang w:eastAsia="da-DK"/>
              </w:rPr>
              <w:t xml:space="preserve"> US</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2,29%</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 xml:space="preserve">5 </w:t>
            </w:r>
            <w:proofErr w:type="spellStart"/>
            <w:r w:rsidRPr="00386F27">
              <w:rPr>
                <w:rFonts w:ascii="Calibri" w:eastAsia="Times New Roman" w:hAnsi="Calibri" w:cs="Times New Roman"/>
                <w:color w:val="000000"/>
                <w:lang w:eastAsia="da-DK"/>
              </w:rPr>
              <w:t>year</w:t>
            </w:r>
            <w:proofErr w:type="spellEnd"/>
            <w:r w:rsidRPr="00386F27">
              <w:rPr>
                <w:rFonts w:ascii="Calibri" w:eastAsia="Times New Roman" w:hAnsi="Calibri" w:cs="Times New Roman"/>
                <w:color w:val="000000"/>
                <w:lang w:eastAsia="da-DK"/>
              </w:rPr>
              <w:t xml:space="preserve"> </w:t>
            </w:r>
            <w:proofErr w:type="spellStart"/>
            <w:r w:rsidRPr="00386F27">
              <w:rPr>
                <w:rFonts w:ascii="Calibri" w:eastAsia="Times New Roman" w:hAnsi="Calibri" w:cs="Times New Roman"/>
                <w:color w:val="000000"/>
                <w:lang w:eastAsia="da-DK"/>
              </w:rPr>
              <w:t>treasury</w:t>
            </w:r>
            <w:proofErr w:type="spellEnd"/>
            <w:r w:rsidRPr="00386F27">
              <w:rPr>
                <w:rFonts w:ascii="Calibri" w:eastAsia="Times New Roman" w:hAnsi="Calibri" w:cs="Times New Roman"/>
                <w:color w:val="000000"/>
                <w:lang w:eastAsia="da-DK"/>
              </w:rPr>
              <w:t xml:space="preserve"> US</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1,78%</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Realkreditobligation F1</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1,21%</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indskud i bank max 1%</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1,00%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Inflation DK 2015</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0,50%</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proofErr w:type="spellStart"/>
            <w:r w:rsidRPr="00386F27">
              <w:rPr>
                <w:rFonts w:ascii="Calibri" w:eastAsia="Times New Roman" w:hAnsi="Calibri" w:cs="Times New Roman"/>
                <w:color w:val="000000"/>
                <w:lang w:eastAsia="da-DK"/>
              </w:rPr>
              <w:t>Nationalbankensudlånsrente</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0,05%</w:t>
            </w:r>
          </w:p>
        </w:tc>
      </w:tr>
      <w:tr w:rsidR="00386F27" w:rsidRPr="00386F27" w:rsidTr="00386F27">
        <w:trPr>
          <w:trHeight w:val="300"/>
        </w:trPr>
        <w:tc>
          <w:tcPr>
            <w:tcW w:w="5180" w:type="dxa"/>
            <w:tcBorders>
              <w:top w:val="nil"/>
              <w:left w:val="single" w:sz="8" w:space="0" w:color="auto"/>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Verdana" w:eastAsia="Times New Roman" w:hAnsi="Verdana" w:cs="Times New Roman"/>
                <w:color w:val="000000"/>
                <w:sz w:val="19"/>
                <w:szCs w:val="19"/>
                <w:lang w:eastAsia="da-DK"/>
              </w:rPr>
            </w:pPr>
            <w:r w:rsidRPr="00386F27">
              <w:rPr>
                <w:rFonts w:ascii="Verdana" w:eastAsia="Times New Roman" w:hAnsi="Verdana" w:cs="Times New Roman"/>
                <w:color w:val="000000"/>
                <w:sz w:val="19"/>
                <w:szCs w:val="19"/>
                <w:lang w:eastAsia="da-DK"/>
              </w:rPr>
              <w:t xml:space="preserve">indskudsrenten - den såkaldte </w:t>
            </w:r>
            <w:proofErr w:type="spellStart"/>
            <w:r w:rsidRPr="00386F27">
              <w:rPr>
                <w:rFonts w:ascii="Verdana" w:eastAsia="Times New Roman" w:hAnsi="Verdana" w:cs="Times New Roman"/>
                <w:color w:val="000000"/>
                <w:sz w:val="19"/>
                <w:szCs w:val="19"/>
                <w:lang w:eastAsia="da-DK"/>
              </w:rPr>
              <w:t>Deposit</w:t>
            </w:r>
            <w:proofErr w:type="spellEnd"/>
            <w:r w:rsidRPr="00386F27">
              <w:rPr>
                <w:rFonts w:ascii="Verdana" w:eastAsia="Times New Roman" w:hAnsi="Verdana" w:cs="Times New Roman"/>
                <w:color w:val="000000"/>
                <w:sz w:val="19"/>
                <w:szCs w:val="19"/>
                <w:lang w:eastAsia="da-DK"/>
              </w:rPr>
              <w:t xml:space="preserve"> Facility Rate</w:t>
            </w:r>
          </w:p>
        </w:tc>
        <w:tc>
          <w:tcPr>
            <w:tcW w:w="1580" w:type="dxa"/>
            <w:tcBorders>
              <w:top w:val="nil"/>
              <w:left w:val="nil"/>
              <w:bottom w:val="single" w:sz="4"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-0,20%</w:t>
            </w:r>
          </w:p>
        </w:tc>
      </w:tr>
      <w:tr w:rsidR="00386F27" w:rsidRPr="00386F27" w:rsidTr="00386F27">
        <w:trPr>
          <w:trHeight w:val="315"/>
        </w:trPr>
        <w:tc>
          <w:tcPr>
            <w:tcW w:w="5180" w:type="dxa"/>
            <w:tcBorders>
              <w:top w:val="nil"/>
              <w:left w:val="single" w:sz="8" w:space="0" w:color="auto"/>
              <w:bottom w:val="single" w:sz="8" w:space="0" w:color="auto"/>
              <w:right w:val="single" w:sz="4" w:space="0" w:color="auto"/>
            </w:tcBorders>
            <w:shd w:val="clear" w:color="auto" w:fill="auto"/>
            <w:noWrap/>
            <w:vAlign w:val="bottom"/>
            <w:hideMark/>
          </w:tcPr>
          <w:p w:rsidR="00386F27" w:rsidRPr="00386F27" w:rsidRDefault="00386F27" w:rsidP="00386F27">
            <w:pPr>
              <w:spacing w:after="0" w:line="240" w:lineRule="auto"/>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AP møller 1 år</w:t>
            </w:r>
          </w:p>
        </w:tc>
        <w:tc>
          <w:tcPr>
            <w:tcW w:w="1580" w:type="dxa"/>
            <w:tcBorders>
              <w:top w:val="nil"/>
              <w:left w:val="nil"/>
              <w:bottom w:val="single" w:sz="8" w:space="0" w:color="auto"/>
              <w:right w:val="single" w:sz="4" w:space="0" w:color="auto"/>
            </w:tcBorders>
            <w:shd w:val="clear" w:color="auto" w:fill="auto"/>
            <w:noWrap/>
            <w:vAlign w:val="bottom"/>
            <w:hideMark/>
          </w:tcPr>
          <w:p w:rsidR="00386F27" w:rsidRPr="00386F27" w:rsidRDefault="00386F27" w:rsidP="00386F27">
            <w:pPr>
              <w:spacing w:after="0" w:line="240" w:lineRule="auto"/>
              <w:jc w:val="right"/>
              <w:rPr>
                <w:rFonts w:ascii="Calibri" w:eastAsia="Times New Roman" w:hAnsi="Calibri" w:cs="Times New Roman"/>
                <w:color w:val="000000"/>
                <w:lang w:eastAsia="da-DK"/>
              </w:rPr>
            </w:pPr>
            <w:r w:rsidRPr="00386F27">
              <w:rPr>
                <w:rFonts w:ascii="Calibri" w:eastAsia="Times New Roman" w:hAnsi="Calibri" w:cs="Times New Roman"/>
                <w:color w:val="000000"/>
                <w:lang w:eastAsia="da-DK"/>
              </w:rPr>
              <w:t>-36,00%</w:t>
            </w:r>
          </w:p>
        </w:tc>
      </w:tr>
    </w:tbl>
    <w:p w:rsidR="00386F27" w:rsidRDefault="00386F27" w:rsidP="001C4E84">
      <w:pPr>
        <w:pStyle w:val="Overskrift1"/>
      </w:pPr>
    </w:p>
    <w:p w:rsidR="00386F27" w:rsidRDefault="00386F27">
      <w:pPr>
        <w:rPr>
          <w:rFonts w:ascii="Times New Roman" w:eastAsia="Times New Roman" w:hAnsi="Times New Roman" w:cs="Times New Roman"/>
          <w:b/>
          <w:bCs/>
          <w:kern w:val="36"/>
          <w:sz w:val="48"/>
          <w:szCs w:val="48"/>
          <w:lang w:eastAsia="da-DK"/>
        </w:rPr>
      </w:pPr>
      <w:r>
        <w:br w:type="page"/>
      </w:r>
    </w:p>
    <w:p w:rsidR="001C4E84" w:rsidRPr="001C4E84" w:rsidRDefault="001C4E84" w:rsidP="001C4E84">
      <w:pPr>
        <w:pStyle w:val="Overskrift1"/>
      </w:pPr>
      <w:r w:rsidRPr="001C4E84">
        <w:lastRenderedPageBreak/>
        <w:t>Rentefastsættelse</w:t>
      </w:r>
    </w:p>
    <w:p w:rsidR="001C4E84" w:rsidRPr="001C4E84" w:rsidRDefault="001C4E84" w:rsidP="001C4E84">
      <w:pPr>
        <w:pStyle w:val="NormalWeb"/>
      </w:pPr>
      <w:r w:rsidRPr="001C4E84">
        <w:rPr>
          <w:b/>
          <w:bCs/>
        </w:rPr>
        <w:t>Markedsrenten bliver sat hver eneste dag på finansmark</w:t>
      </w:r>
      <w:r w:rsidR="00DD2D89">
        <w:rPr>
          <w:b/>
          <w:bCs/>
        </w:rPr>
        <w:t>edet. Derudover sætter Danmarks</w:t>
      </w:r>
      <w:r w:rsidRPr="001C4E84">
        <w:rPr>
          <w:b/>
          <w:bCs/>
        </w:rPr>
        <w:t xml:space="preserve"> Nationalbank pengemarkedsrenter som led i pengepolitikken.</w:t>
      </w:r>
    </w:p>
    <w:p w:rsidR="001C4E84" w:rsidRPr="001C4E84" w:rsidRDefault="001C4E84" w:rsidP="001C4E84">
      <w:pPr>
        <w:pStyle w:val="NormalWeb"/>
      </w:pPr>
      <w:r w:rsidRPr="001C4E84">
        <w:t>Generelt afspejler markedsrenter, hvad en långiver er villig til at låne sine penge ud til, og hvad en låntager er parat til at betale for et lån. Markedsrenter bliver derfor fastsat på et frit marked, hvor udbud møder efterspørgsel. Rentens størrelse afhænger af faktorer som eksempelvis kreditrisiko og løbetid. Markedsrenten er derfor ikke en entydig størrelse, eftersom kreditrisiko og løbetid ikke er den samme for alle lån.</w:t>
      </w:r>
    </w:p>
    <w:p w:rsidR="001C4E84" w:rsidRPr="001C4E84" w:rsidRDefault="001C4E84" w:rsidP="001C4E84">
      <w:pPr>
        <w:pStyle w:val="NormalWeb"/>
      </w:pPr>
      <w:r w:rsidRPr="001C4E84">
        <w:t>Når man taler om markedsrenten uden nærmere at komme ind på, hvilken der er tale om, er det en slags gennemsnitlig betragtning. Hvis man for eksempel siger, at markedsrenten er steget, er det typisk et udtryk for, at den er steget generelt på alle - eller de fleste - områder.</w:t>
      </w:r>
    </w:p>
    <w:p w:rsidR="001C4E84" w:rsidRPr="001C4E84" w:rsidRDefault="001C4E84" w:rsidP="001C4E84">
      <w:pPr>
        <w:pStyle w:val="NormalWeb"/>
      </w:pPr>
      <w:r w:rsidRPr="001C4E84">
        <w:t> </w:t>
      </w:r>
    </w:p>
    <w:p w:rsidR="001C4E84" w:rsidRPr="001C4E84" w:rsidRDefault="001C4E84" w:rsidP="001C4E84">
      <w:pPr>
        <w:pStyle w:val="NormalWeb"/>
      </w:pPr>
      <w:r w:rsidRPr="001C4E84">
        <w:t>Markedsrenter kan grupperes efter løbetiden på udlånet eller investeringen i:</w:t>
      </w:r>
    </w:p>
    <w:p w:rsidR="001C4E84" w:rsidRPr="001C4E84" w:rsidRDefault="001C4E84" w:rsidP="001C4E84">
      <w:pPr>
        <w:numPr>
          <w:ilvl w:val="0"/>
          <w:numId w:val="1"/>
        </w:numPr>
        <w:spacing w:before="100" w:beforeAutospacing="1" w:after="100" w:afterAutospacing="1" w:line="240" w:lineRule="auto"/>
      </w:pPr>
      <w:r w:rsidRPr="001C4E84">
        <w:t>Kort rente - ved løbetider på op til 1 år</w:t>
      </w:r>
    </w:p>
    <w:p w:rsidR="001C4E84" w:rsidRPr="001C4E84" w:rsidRDefault="001C4E84" w:rsidP="001C4E84">
      <w:pPr>
        <w:numPr>
          <w:ilvl w:val="0"/>
          <w:numId w:val="1"/>
        </w:numPr>
        <w:spacing w:before="100" w:beforeAutospacing="1" w:after="100" w:afterAutospacing="1" w:line="240" w:lineRule="auto"/>
      </w:pPr>
      <w:r w:rsidRPr="001C4E84">
        <w:t>Lang rente - ved løbetider, der overstiger 1 år.</w:t>
      </w:r>
    </w:p>
    <w:p w:rsidR="001C4E84" w:rsidRPr="001C4E84" w:rsidRDefault="001C4E84" w:rsidP="001C4E84">
      <w:pPr>
        <w:pStyle w:val="NormalWeb"/>
      </w:pPr>
      <w:r w:rsidRPr="001C4E84">
        <w:t>Markedsrenter kan overordnet opdeles i pengemarkedsrenter og markedsrenter på obligationer.</w:t>
      </w:r>
    </w:p>
    <w:p w:rsidR="001C4E84" w:rsidRPr="001C4E84" w:rsidRDefault="001C4E84" w:rsidP="001C4E84">
      <w:pPr>
        <w:pStyle w:val="NormalWeb"/>
      </w:pPr>
      <w:r w:rsidRPr="001C4E84">
        <w:t> </w:t>
      </w:r>
    </w:p>
    <w:p w:rsidR="001C4E84" w:rsidRPr="001C4E84" w:rsidRDefault="001C4E84" w:rsidP="001C4E84">
      <w:pPr>
        <w:pStyle w:val="Overskrift3"/>
      </w:pPr>
      <w:r w:rsidRPr="001C4E84">
        <w:t>Pengemarkedsrenter</w:t>
      </w:r>
    </w:p>
    <w:p w:rsidR="001C4E84" w:rsidRDefault="001C4E84" w:rsidP="001C4E84">
      <w:pPr>
        <w:pStyle w:val="NormalWeb"/>
        <w:rPr>
          <w:lang w:val="en"/>
        </w:rPr>
      </w:pPr>
      <w:r w:rsidRPr="001C4E84">
        <w:t xml:space="preserve">Nogle af pengemarkedsrenterne er officielle renter, som fastsættes af Nationalbanken. </w:t>
      </w:r>
      <w:proofErr w:type="spellStart"/>
      <w:r>
        <w:rPr>
          <w:lang w:val="en"/>
        </w:rPr>
        <w:t>Det</w:t>
      </w:r>
      <w:proofErr w:type="spellEnd"/>
      <w:r>
        <w:rPr>
          <w:lang w:val="en"/>
        </w:rPr>
        <w:t xml:space="preserve"> </w:t>
      </w:r>
      <w:proofErr w:type="spellStart"/>
      <w:r>
        <w:rPr>
          <w:lang w:val="en"/>
        </w:rPr>
        <w:t>gælder</w:t>
      </w:r>
      <w:proofErr w:type="spellEnd"/>
      <w:r>
        <w:rPr>
          <w:lang w:val="en"/>
        </w:rPr>
        <w:t xml:space="preserve"> </w:t>
      </w:r>
      <w:proofErr w:type="spellStart"/>
      <w:r>
        <w:rPr>
          <w:lang w:val="en"/>
        </w:rPr>
        <w:t>fx</w:t>
      </w:r>
      <w:proofErr w:type="spellEnd"/>
      <w:r>
        <w:rPr>
          <w:lang w:val="en"/>
        </w:rPr>
        <w:t>:</w:t>
      </w:r>
    </w:p>
    <w:p w:rsidR="001C4E84" w:rsidRDefault="001C4E84" w:rsidP="001C4E84">
      <w:pPr>
        <w:numPr>
          <w:ilvl w:val="0"/>
          <w:numId w:val="2"/>
        </w:numPr>
        <w:spacing w:before="100" w:beforeAutospacing="1" w:after="100" w:afterAutospacing="1" w:line="240" w:lineRule="auto"/>
        <w:rPr>
          <w:lang w:val="en"/>
        </w:rPr>
      </w:pPr>
      <w:proofErr w:type="spellStart"/>
      <w:r>
        <w:rPr>
          <w:lang w:val="en"/>
        </w:rPr>
        <w:t>Diskontoen</w:t>
      </w:r>
      <w:proofErr w:type="spellEnd"/>
      <w:r>
        <w:rPr>
          <w:lang w:val="en"/>
        </w:rPr>
        <w:t xml:space="preserve">, </w:t>
      </w:r>
      <w:proofErr w:type="spellStart"/>
      <w:r>
        <w:rPr>
          <w:lang w:val="en"/>
        </w:rPr>
        <w:t>som</w:t>
      </w:r>
      <w:proofErr w:type="spellEnd"/>
      <w:r>
        <w:rPr>
          <w:lang w:val="en"/>
        </w:rPr>
        <w:t xml:space="preserve"> </w:t>
      </w:r>
      <w:proofErr w:type="spellStart"/>
      <w:r>
        <w:rPr>
          <w:lang w:val="en"/>
        </w:rPr>
        <w:t>er</w:t>
      </w:r>
      <w:proofErr w:type="spellEnd"/>
      <w:r>
        <w:rPr>
          <w:lang w:val="en"/>
        </w:rPr>
        <w:t xml:space="preserve"> </w:t>
      </w:r>
      <w:proofErr w:type="spellStart"/>
      <w:r>
        <w:rPr>
          <w:lang w:val="en"/>
        </w:rPr>
        <w:t>Nationalbankens</w:t>
      </w:r>
      <w:proofErr w:type="spellEnd"/>
      <w:r>
        <w:rPr>
          <w:lang w:val="en"/>
        </w:rPr>
        <w:t xml:space="preserve"> </w:t>
      </w:r>
      <w:proofErr w:type="spellStart"/>
      <w:r>
        <w:rPr>
          <w:lang w:val="en"/>
        </w:rPr>
        <w:t>indlånsrente</w:t>
      </w:r>
      <w:proofErr w:type="spellEnd"/>
    </w:p>
    <w:p w:rsidR="001C4E84" w:rsidRPr="001C4E84" w:rsidRDefault="001C4E84" w:rsidP="001C4E84">
      <w:pPr>
        <w:numPr>
          <w:ilvl w:val="0"/>
          <w:numId w:val="2"/>
        </w:numPr>
        <w:spacing w:before="100" w:beforeAutospacing="1" w:after="100" w:afterAutospacing="1" w:line="240" w:lineRule="auto"/>
      </w:pPr>
      <w:r w:rsidRPr="001C4E84">
        <w:t>7-dages renten, som er Nationalbankens udlånsrente.</w:t>
      </w:r>
    </w:p>
    <w:p w:rsidR="001C4E84" w:rsidRPr="001C4E84" w:rsidRDefault="001C4E84" w:rsidP="001C4E84">
      <w:pPr>
        <w:pStyle w:val="NormalWeb"/>
      </w:pPr>
      <w:r w:rsidRPr="001C4E84">
        <w:t>De officielle renter er retningsgivende for den korte markedsrente, herunder for den rente, som pengeinstitutterne anvender indbyrdes. De officielle renter bliver derfor også kaldet referencerenter.</w:t>
      </w:r>
    </w:p>
    <w:p w:rsidR="001C4E84" w:rsidRPr="001C4E84" w:rsidRDefault="001C4E84" w:rsidP="001C4E84">
      <w:pPr>
        <w:pStyle w:val="NormalWeb"/>
      </w:pPr>
      <w:r w:rsidRPr="001C4E84">
        <w:t> </w:t>
      </w:r>
    </w:p>
    <w:p w:rsidR="001C4E84" w:rsidRDefault="001C4E84" w:rsidP="001C4E84">
      <w:pPr>
        <w:pStyle w:val="NormalWeb"/>
        <w:rPr>
          <w:lang w:val="en"/>
        </w:rPr>
      </w:pPr>
      <w:r w:rsidRPr="001C4E84">
        <w:t xml:space="preserve">Finansrådet er ansvarlig for referencerentesatserne, som benyttes ved lån imellem pengeinstitutterne indbyrdes. </w:t>
      </w:r>
      <w:proofErr w:type="spellStart"/>
      <w:r>
        <w:rPr>
          <w:lang w:val="en"/>
        </w:rPr>
        <w:t>Referencerenterne</w:t>
      </w:r>
      <w:proofErr w:type="spellEnd"/>
      <w:r>
        <w:rPr>
          <w:lang w:val="en"/>
        </w:rPr>
        <w:t xml:space="preserve"> </w:t>
      </w:r>
      <w:proofErr w:type="spellStart"/>
      <w:r>
        <w:rPr>
          <w:lang w:val="en"/>
        </w:rPr>
        <w:t>opgøres</w:t>
      </w:r>
      <w:proofErr w:type="spellEnd"/>
      <w:r>
        <w:rPr>
          <w:lang w:val="en"/>
        </w:rPr>
        <w:t xml:space="preserve"> </w:t>
      </w:r>
      <w:proofErr w:type="spellStart"/>
      <w:r>
        <w:rPr>
          <w:lang w:val="en"/>
        </w:rPr>
        <w:t>dagligt</w:t>
      </w:r>
      <w:proofErr w:type="spellEnd"/>
      <w:r>
        <w:rPr>
          <w:lang w:val="en"/>
        </w:rPr>
        <w:t xml:space="preserve"> </w:t>
      </w:r>
      <w:proofErr w:type="spellStart"/>
      <w:r>
        <w:rPr>
          <w:lang w:val="en"/>
        </w:rPr>
        <w:t>og</w:t>
      </w:r>
      <w:proofErr w:type="spellEnd"/>
      <w:r>
        <w:rPr>
          <w:lang w:val="en"/>
        </w:rPr>
        <w:t xml:space="preserve"> </w:t>
      </w:r>
      <w:proofErr w:type="spellStart"/>
      <w:r>
        <w:rPr>
          <w:lang w:val="en"/>
        </w:rPr>
        <w:t>offentliggøres</w:t>
      </w:r>
      <w:proofErr w:type="spellEnd"/>
      <w:r>
        <w:rPr>
          <w:lang w:val="en"/>
        </w:rPr>
        <w:t xml:space="preserve"> </w:t>
      </w:r>
      <w:proofErr w:type="spellStart"/>
      <w:r>
        <w:rPr>
          <w:lang w:val="en"/>
        </w:rPr>
        <w:t>følgende</w:t>
      </w:r>
      <w:proofErr w:type="spellEnd"/>
      <w:r>
        <w:rPr>
          <w:lang w:val="en"/>
        </w:rPr>
        <w:t xml:space="preserve"> </w:t>
      </w:r>
      <w:proofErr w:type="spellStart"/>
      <w:r>
        <w:rPr>
          <w:lang w:val="en"/>
        </w:rPr>
        <w:t>steder</w:t>
      </w:r>
      <w:proofErr w:type="spellEnd"/>
      <w:r>
        <w:rPr>
          <w:lang w:val="en"/>
        </w:rPr>
        <w:t>:</w:t>
      </w:r>
    </w:p>
    <w:p w:rsidR="001C4E84" w:rsidRDefault="001C4E84" w:rsidP="001C4E84">
      <w:pPr>
        <w:pStyle w:val="NormalWeb"/>
        <w:rPr>
          <w:lang w:val="en"/>
        </w:rPr>
      </w:pPr>
      <w:r>
        <w:rPr>
          <w:lang w:val="en"/>
        </w:rPr>
        <w:t> </w:t>
      </w:r>
    </w:p>
    <w:p w:rsidR="001C4E84" w:rsidRDefault="001C4E84" w:rsidP="001C4E84">
      <w:pPr>
        <w:pStyle w:val="NormalWeb"/>
        <w:rPr>
          <w:lang w:val="en"/>
        </w:rPr>
      </w:pPr>
      <w:proofErr w:type="spellStart"/>
      <w:r>
        <w:rPr>
          <w:b/>
          <w:bCs/>
          <w:lang w:val="en"/>
        </w:rPr>
        <w:t>Nationalbankens</w:t>
      </w:r>
      <w:proofErr w:type="spellEnd"/>
      <w:r>
        <w:rPr>
          <w:b/>
          <w:bCs/>
          <w:lang w:val="en"/>
        </w:rPr>
        <w:t xml:space="preserve"> </w:t>
      </w:r>
      <w:proofErr w:type="spellStart"/>
      <w:r>
        <w:rPr>
          <w:b/>
          <w:bCs/>
          <w:lang w:val="en"/>
        </w:rPr>
        <w:t>hjemmeside</w:t>
      </w:r>
      <w:proofErr w:type="spellEnd"/>
      <w:r>
        <w:rPr>
          <w:b/>
          <w:bCs/>
          <w:lang w:val="en"/>
        </w:rPr>
        <w:t>:</w:t>
      </w:r>
    </w:p>
    <w:p w:rsidR="001C4E84" w:rsidRDefault="001C4E84" w:rsidP="001C4E84">
      <w:pPr>
        <w:numPr>
          <w:ilvl w:val="0"/>
          <w:numId w:val="3"/>
        </w:numPr>
        <w:spacing w:before="100" w:beforeAutospacing="1" w:after="100" w:afterAutospacing="1" w:line="240" w:lineRule="auto"/>
        <w:rPr>
          <w:lang w:val="en"/>
        </w:rPr>
      </w:pPr>
      <w:r w:rsidRPr="001C4E84">
        <w:lastRenderedPageBreak/>
        <w:t xml:space="preserve">Dag-til-dag renten (T/N), som er renten for lån fra den ene bankdag til den næste. </w:t>
      </w:r>
      <w:proofErr w:type="spellStart"/>
      <w:r>
        <w:rPr>
          <w:lang w:val="en"/>
        </w:rPr>
        <w:t>Diskontoen</w:t>
      </w:r>
      <w:proofErr w:type="spellEnd"/>
      <w:r>
        <w:rPr>
          <w:lang w:val="en"/>
        </w:rPr>
        <w:t xml:space="preserve"> </w:t>
      </w:r>
      <w:proofErr w:type="spellStart"/>
      <w:r>
        <w:rPr>
          <w:lang w:val="en"/>
        </w:rPr>
        <w:t>danner</w:t>
      </w:r>
      <w:proofErr w:type="spellEnd"/>
      <w:r>
        <w:rPr>
          <w:lang w:val="en"/>
        </w:rPr>
        <w:t xml:space="preserve"> </w:t>
      </w:r>
      <w:proofErr w:type="spellStart"/>
      <w:r>
        <w:rPr>
          <w:lang w:val="en"/>
        </w:rPr>
        <w:t>en</w:t>
      </w:r>
      <w:proofErr w:type="spellEnd"/>
      <w:r>
        <w:rPr>
          <w:lang w:val="en"/>
        </w:rPr>
        <w:t xml:space="preserve"> </w:t>
      </w:r>
      <w:proofErr w:type="spellStart"/>
      <w:r>
        <w:rPr>
          <w:lang w:val="en"/>
        </w:rPr>
        <w:t>nedre</w:t>
      </w:r>
      <w:proofErr w:type="spellEnd"/>
      <w:r>
        <w:rPr>
          <w:lang w:val="en"/>
        </w:rPr>
        <w:t xml:space="preserve"> </w:t>
      </w:r>
      <w:proofErr w:type="spellStart"/>
      <w:r>
        <w:rPr>
          <w:lang w:val="en"/>
        </w:rPr>
        <w:t>grænse</w:t>
      </w:r>
      <w:proofErr w:type="spellEnd"/>
      <w:r>
        <w:rPr>
          <w:lang w:val="en"/>
        </w:rPr>
        <w:t xml:space="preserve"> for </w:t>
      </w:r>
      <w:proofErr w:type="spellStart"/>
      <w:r>
        <w:rPr>
          <w:lang w:val="en"/>
        </w:rPr>
        <w:t>denne</w:t>
      </w:r>
      <w:proofErr w:type="spellEnd"/>
      <w:r>
        <w:rPr>
          <w:lang w:val="en"/>
        </w:rPr>
        <w:t xml:space="preserve"> </w:t>
      </w:r>
      <w:proofErr w:type="spellStart"/>
      <w:r>
        <w:rPr>
          <w:lang w:val="en"/>
        </w:rPr>
        <w:t>rente</w:t>
      </w:r>
      <w:proofErr w:type="spellEnd"/>
      <w:r>
        <w:rPr>
          <w:lang w:val="en"/>
        </w:rPr>
        <w:t>.</w:t>
      </w:r>
    </w:p>
    <w:p w:rsidR="001C4E84" w:rsidRDefault="001C4E84" w:rsidP="001C4E84">
      <w:pPr>
        <w:pStyle w:val="NormalWeb"/>
        <w:rPr>
          <w:lang w:val="en"/>
        </w:rPr>
      </w:pPr>
      <w:r>
        <w:rPr>
          <w:b/>
          <w:bCs/>
          <w:lang w:val="en"/>
        </w:rPr>
        <w:t xml:space="preserve">Nasdaq </w:t>
      </w:r>
      <w:proofErr w:type="spellStart"/>
      <w:r>
        <w:rPr>
          <w:b/>
          <w:bCs/>
          <w:lang w:val="en"/>
        </w:rPr>
        <w:t>Omx</w:t>
      </w:r>
      <w:proofErr w:type="spellEnd"/>
      <w:r>
        <w:rPr>
          <w:b/>
          <w:bCs/>
          <w:lang w:val="en"/>
        </w:rPr>
        <w:t xml:space="preserve"> </w:t>
      </w:r>
      <w:proofErr w:type="spellStart"/>
      <w:r>
        <w:rPr>
          <w:b/>
          <w:bCs/>
          <w:lang w:val="en"/>
        </w:rPr>
        <w:t>hjemmeside</w:t>
      </w:r>
      <w:proofErr w:type="spellEnd"/>
      <w:r>
        <w:rPr>
          <w:b/>
          <w:bCs/>
          <w:lang w:val="en"/>
        </w:rPr>
        <w:t>:</w:t>
      </w:r>
    </w:p>
    <w:p w:rsidR="001C4E84" w:rsidRDefault="001C4E84" w:rsidP="001C4E84">
      <w:pPr>
        <w:numPr>
          <w:ilvl w:val="0"/>
          <w:numId w:val="4"/>
        </w:numPr>
        <w:spacing w:before="100" w:beforeAutospacing="1" w:after="100" w:afterAutospacing="1" w:line="240" w:lineRule="auto"/>
        <w:rPr>
          <w:lang w:val="en"/>
        </w:rPr>
      </w:pPr>
      <w:proofErr w:type="spellStart"/>
      <w:r w:rsidRPr="001C4E84">
        <w:t>Cibor</w:t>
      </w:r>
      <w:proofErr w:type="spellEnd"/>
      <w:r w:rsidRPr="001C4E84">
        <w:t xml:space="preserve"> - Copenhagen </w:t>
      </w:r>
      <w:proofErr w:type="spellStart"/>
      <w:r w:rsidRPr="001C4E84">
        <w:t>InterBank</w:t>
      </w:r>
      <w:proofErr w:type="spellEnd"/>
      <w:r w:rsidRPr="001C4E84">
        <w:t xml:space="preserve"> Offered Rates - som er renten for udlån i perioder fra 1 uge og op til 12 måneder. Der findes </w:t>
      </w:r>
      <w:proofErr w:type="spellStart"/>
      <w:r w:rsidRPr="001C4E84">
        <w:t>Cibor</w:t>
      </w:r>
      <w:proofErr w:type="spellEnd"/>
      <w:r w:rsidRPr="001C4E84">
        <w:t xml:space="preserve">-rentesatser for 1 uge, 2 uger, 1 måned, 2 måneder, 3 måneder, 4 måneder, 5 måneder, 6 måneder, 7 måneder, 8 måneder, 9 måneder, 10 måneder, 11 måneder og 12 måneder. </w:t>
      </w:r>
      <w:proofErr w:type="spellStart"/>
      <w:r>
        <w:rPr>
          <w:lang w:val="en"/>
        </w:rPr>
        <w:t>Nationalbankens</w:t>
      </w:r>
      <w:proofErr w:type="spellEnd"/>
      <w:r>
        <w:rPr>
          <w:lang w:val="en"/>
        </w:rPr>
        <w:t xml:space="preserve"> 7-dagesrente </w:t>
      </w:r>
      <w:proofErr w:type="spellStart"/>
      <w:r>
        <w:rPr>
          <w:lang w:val="en"/>
        </w:rPr>
        <w:t>er</w:t>
      </w:r>
      <w:proofErr w:type="spellEnd"/>
      <w:r>
        <w:rPr>
          <w:lang w:val="en"/>
        </w:rPr>
        <w:t xml:space="preserve"> </w:t>
      </w:r>
      <w:proofErr w:type="spellStart"/>
      <w:r>
        <w:rPr>
          <w:lang w:val="en"/>
        </w:rPr>
        <w:t>retningsgivende</w:t>
      </w:r>
      <w:proofErr w:type="spellEnd"/>
      <w:r>
        <w:rPr>
          <w:lang w:val="en"/>
        </w:rPr>
        <w:t xml:space="preserve"> for </w:t>
      </w:r>
      <w:proofErr w:type="spellStart"/>
      <w:r>
        <w:rPr>
          <w:lang w:val="en"/>
        </w:rPr>
        <w:t>Cibor</w:t>
      </w:r>
      <w:proofErr w:type="spellEnd"/>
      <w:r>
        <w:rPr>
          <w:lang w:val="en"/>
        </w:rPr>
        <w:t>.</w:t>
      </w:r>
    </w:p>
    <w:p w:rsidR="001C4E84" w:rsidRDefault="001C4E84" w:rsidP="001C4E84">
      <w:pPr>
        <w:pStyle w:val="Overskrift3"/>
        <w:rPr>
          <w:lang w:val="en"/>
        </w:rPr>
      </w:pPr>
      <w:proofErr w:type="spellStart"/>
      <w:r>
        <w:rPr>
          <w:lang w:val="en"/>
        </w:rPr>
        <w:t>Markedsrenten</w:t>
      </w:r>
      <w:proofErr w:type="spellEnd"/>
      <w:r>
        <w:rPr>
          <w:lang w:val="en"/>
        </w:rPr>
        <w:t xml:space="preserve"> </w:t>
      </w:r>
      <w:proofErr w:type="spellStart"/>
      <w:r>
        <w:rPr>
          <w:lang w:val="en"/>
        </w:rPr>
        <w:t>på</w:t>
      </w:r>
      <w:proofErr w:type="spellEnd"/>
      <w:r>
        <w:rPr>
          <w:lang w:val="en"/>
        </w:rPr>
        <w:t xml:space="preserve"> </w:t>
      </w:r>
      <w:proofErr w:type="spellStart"/>
      <w:r>
        <w:rPr>
          <w:lang w:val="en"/>
        </w:rPr>
        <w:t>obligationer</w:t>
      </w:r>
      <w:proofErr w:type="spellEnd"/>
    </w:p>
    <w:p w:rsidR="001C4E84" w:rsidRPr="001C4E84" w:rsidRDefault="001C4E84" w:rsidP="001C4E84">
      <w:pPr>
        <w:pStyle w:val="NormalWeb"/>
      </w:pPr>
      <w:r w:rsidRPr="001C4E84">
        <w:t>På samme måde som for pengemarkedsrenten er Nationalbankens rentefastsættelse - mere indirekte - udgangspunkt for den rente, som investorer i obligationer kræver. Når de vurderer investeringen, spiller det ind, hvor høj en rente de ville kunne opnå, hvis de i stedet indsatte pengene på en indlånskonto i et pengeinstitut. Dertil kommer øvrige faktorer, der er med til at præge markedsrenten på obligationer, så som kreditrisikoen og hvor lang tid pengene bindes. Se mere herom under ”</w:t>
      </w:r>
      <w:hyperlink r:id="rId8" w:history="1">
        <w:r w:rsidRPr="001C4E84">
          <w:rPr>
            <w:rStyle w:val="Hyperlink"/>
            <w:rFonts w:eastAsiaTheme="majorEastAsia"/>
          </w:rPr>
          <w:t>Kursdannelse</w:t>
        </w:r>
      </w:hyperlink>
      <w:r w:rsidRPr="001C4E84">
        <w:t>”.</w:t>
      </w:r>
    </w:p>
    <w:p w:rsidR="00E40A68" w:rsidRDefault="00067817">
      <w:hyperlink r:id="rId9" w:history="1">
        <w:r w:rsidR="00DD2D89" w:rsidRPr="00CE60DE">
          <w:rPr>
            <w:rStyle w:val="Hyperlink"/>
          </w:rPr>
          <w:t>http://www.realkreditraadet.dk/Realkreditl%C3%A5n/Renter_og_kurser/Rentefasts%C3%A6ttelse.aspx</w:t>
        </w:r>
      </w:hyperlink>
    </w:p>
    <w:p w:rsidR="00386F27" w:rsidRDefault="00386F27"/>
    <w:sectPr w:rsidR="00386F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E2476"/>
    <w:multiLevelType w:val="multilevel"/>
    <w:tmpl w:val="F1A2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D48C9"/>
    <w:multiLevelType w:val="multilevel"/>
    <w:tmpl w:val="FF2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A551C"/>
    <w:multiLevelType w:val="multilevel"/>
    <w:tmpl w:val="CD86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95E93"/>
    <w:multiLevelType w:val="multilevel"/>
    <w:tmpl w:val="EEDC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68"/>
    <w:rsid w:val="00067817"/>
    <w:rsid w:val="000D0055"/>
    <w:rsid w:val="001C4E84"/>
    <w:rsid w:val="001C5D28"/>
    <w:rsid w:val="00302926"/>
    <w:rsid w:val="00386F27"/>
    <w:rsid w:val="004069BA"/>
    <w:rsid w:val="00643A21"/>
    <w:rsid w:val="00C71ADE"/>
    <w:rsid w:val="00DD2D89"/>
    <w:rsid w:val="00E40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11BE"/>
  <w15:docId w15:val="{191F2F6E-2B43-4677-9AF7-1AF4CBAB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E40A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next w:val="Normal"/>
    <w:link w:val="Overskrift3Tegn"/>
    <w:uiPriority w:val="9"/>
    <w:semiHidden/>
    <w:unhideWhenUsed/>
    <w:qFormat/>
    <w:rsid w:val="001C4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0A68"/>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E40A6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E40A68"/>
    <w:rPr>
      <w:color w:val="0000FF" w:themeColor="hyperlink"/>
      <w:u w:val="single"/>
    </w:rPr>
  </w:style>
  <w:style w:type="character" w:customStyle="1" w:styleId="Overskrift3Tegn">
    <w:name w:val="Overskrift 3 Tegn"/>
    <w:basedOn w:val="Standardskrifttypeiafsnit"/>
    <w:link w:val="Overskrift3"/>
    <w:uiPriority w:val="9"/>
    <w:semiHidden/>
    <w:rsid w:val="001C4E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9116">
      <w:bodyDiv w:val="1"/>
      <w:marLeft w:val="0"/>
      <w:marRight w:val="0"/>
      <w:marTop w:val="0"/>
      <w:marBottom w:val="0"/>
      <w:divBdr>
        <w:top w:val="none" w:sz="0" w:space="0" w:color="auto"/>
        <w:left w:val="none" w:sz="0" w:space="0" w:color="auto"/>
        <w:bottom w:val="none" w:sz="0" w:space="0" w:color="auto"/>
        <w:right w:val="none" w:sz="0" w:space="0" w:color="auto"/>
      </w:divBdr>
      <w:divsChild>
        <w:div w:id="1080369625">
          <w:marLeft w:val="0"/>
          <w:marRight w:val="0"/>
          <w:marTop w:val="0"/>
          <w:marBottom w:val="0"/>
          <w:divBdr>
            <w:top w:val="none" w:sz="0" w:space="0" w:color="auto"/>
            <w:left w:val="none" w:sz="0" w:space="0" w:color="auto"/>
            <w:bottom w:val="none" w:sz="0" w:space="0" w:color="auto"/>
            <w:right w:val="none" w:sz="0" w:space="0" w:color="auto"/>
          </w:divBdr>
          <w:divsChild>
            <w:div w:id="776220140">
              <w:marLeft w:val="0"/>
              <w:marRight w:val="0"/>
              <w:marTop w:val="0"/>
              <w:marBottom w:val="0"/>
              <w:divBdr>
                <w:top w:val="none" w:sz="0" w:space="0" w:color="auto"/>
                <w:left w:val="none" w:sz="0" w:space="0" w:color="auto"/>
                <w:bottom w:val="none" w:sz="0" w:space="0" w:color="auto"/>
                <w:right w:val="none" w:sz="0" w:space="0" w:color="auto"/>
              </w:divBdr>
              <w:divsChild>
                <w:div w:id="1160775071">
                  <w:marLeft w:val="0"/>
                  <w:marRight w:val="0"/>
                  <w:marTop w:val="0"/>
                  <w:marBottom w:val="0"/>
                  <w:divBdr>
                    <w:top w:val="none" w:sz="0" w:space="0" w:color="auto"/>
                    <w:left w:val="none" w:sz="0" w:space="0" w:color="auto"/>
                    <w:bottom w:val="none" w:sz="0" w:space="0" w:color="auto"/>
                    <w:right w:val="none" w:sz="0" w:space="0" w:color="auto"/>
                  </w:divBdr>
                  <w:divsChild>
                    <w:div w:id="839125738">
                      <w:marLeft w:val="0"/>
                      <w:marRight w:val="0"/>
                      <w:marTop w:val="0"/>
                      <w:marBottom w:val="0"/>
                      <w:divBdr>
                        <w:top w:val="none" w:sz="0" w:space="0" w:color="auto"/>
                        <w:left w:val="none" w:sz="0" w:space="0" w:color="auto"/>
                        <w:bottom w:val="none" w:sz="0" w:space="0" w:color="auto"/>
                        <w:right w:val="none" w:sz="0" w:space="0" w:color="auto"/>
                      </w:divBdr>
                      <w:divsChild>
                        <w:div w:id="4292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39953">
      <w:bodyDiv w:val="1"/>
      <w:marLeft w:val="0"/>
      <w:marRight w:val="0"/>
      <w:marTop w:val="0"/>
      <w:marBottom w:val="0"/>
      <w:divBdr>
        <w:top w:val="none" w:sz="0" w:space="0" w:color="auto"/>
        <w:left w:val="none" w:sz="0" w:space="0" w:color="auto"/>
        <w:bottom w:val="none" w:sz="0" w:space="0" w:color="auto"/>
        <w:right w:val="none" w:sz="0" w:space="0" w:color="auto"/>
      </w:divBdr>
      <w:divsChild>
        <w:div w:id="423964987">
          <w:marLeft w:val="0"/>
          <w:marRight w:val="0"/>
          <w:marTop w:val="0"/>
          <w:marBottom w:val="0"/>
          <w:divBdr>
            <w:top w:val="none" w:sz="0" w:space="0" w:color="auto"/>
            <w:left w:val="none" w:sz="0" w:space="0" w:color="auto"/>
            <w:bottom w:val="none" w:sz="0" w:space="0" w:color="auto"/>
            <w:right w:val="none" w:sz="0" w:space="0" w:color="auto"/>
          </w:divBdr>
          <w:divsChild>
            <w:div w:id="225723501">
              <w:marLeft w:val="0"/>
              <w:marRight w:val="0"/>
              <w:marTop w:val="0"/>
              <w:marBottom w:val="0"/>
              <w:divBdr>
                <w:top w:val="none" w:sz="0" w:space="0" w:color="auto"/>
                <w:left w:val="none" w:sz="0" w:space="0" w:color="auto"/>
                <w:bottom w:val="none" w:sz="0" w:space="0" w:color="auto"/>
                <w:right w:val="none" w:sz="0" w:space="0" w:color="auto"/>
              </w:divBdr>
              <w:divsChild>
                <w:div w:id="268784376">
                  <w:marLeft w:val="0"/>
                  <w:marRight w:val="0"/>
                  <w:marTop w:val="0"/>
                  <w:marBottom w:val="0"/>
                  <w:divBdr>
                    <w:top w:val="none" w:sz="0" w:space="0" w:color="auto"/>
                    <w:left w:val="none" w:sz="0" w:space="0" w:color="auto"/>
                    <w:bottom w:val="none" w:sz="0" w:space="0" w:color="auto"/>
                    <w:right w:val="none" w:sz="0" w:space="0" w:color="auto"/>
                  </w:divBdr>
                  <w:divsChild>
                    <w:div w:id="1229918223">
                      <w:marLeft w:val="0"/>
                      <w:marRight w:val="0"/>
                      <w:marTop w:val="0"/>
                      <w:marBottom w:val="0"/>
                      <w:divBdr>
                        <w:top w:val="none" w:sz="0" w:space="0" w:color="auto"/>
                        <w:left w:val="none" w:sz="0" w:space="0" w:color="auto"/>
                        <w:bottom w:val="none" w:sz="0" w:space="0" w:color="auto"/>
                        <w:right w:val="none" w:sz="0" w:space="0" w:color="auto"/>
                      </w:divBdr>
                      <w:divsChild>
                        <w:div w:id="218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674320">
      <w:bodyDiv w:val="1"/>
      <w:marLeft w:val="0"/>
      <w:marRight w:val="0"/>
      <w:marTop w:val="0"/>
      <w:marBottom w:val="0"/>
      <w:divBdr>
        <w:top w:val="none" w:sz="0" w:space="0" w:color="auto"/>
        <w:left w:val="none" w:sz="0" w:space="0" w:color="auto"/>
        <w:bottom w:val="none" w:sz="0" w:space="0" w:color="auto"/>
        <w:right w:val="none" w:sz="0" w:space="0" w:color="auto"/>
      </w:divBdr>
    </w:div>
    <w:div w:id="1498839493">
      <w:bodyDiv w:val="1"/>
      <w:marLeft w:val="0"/>
      <w:marRight w:val="0"/>
      <w:marTop w:val="0"/>
      <w:marBottom w:val="0"/>
      <w:divBdr>
        <w:top w:val="none" w:sz="0" w:space="0" w:color="auto"/>
        <w:left w:val="none" w:sz="0" w:space="0" w:color="auto"/>
        <w:bottom w:val="none" w:sz="0" w:space="0" w:color="auto"/>
        <w:right w:val="none" w:sz="0" w:space="0" w:color="auto"/>
      </w:divBdr>
    </w:div>
    <w:div w:id="1526989478">
      <w:bodyDiv w:val="1"/>
      <w:marLeft w:val="0"/>
      <w:marRight w:val="0"/>
      <w:marTop w:val="0"/>
      <w:marBottom w:val="0"/>
      <w:divBdr>
        <w:top w:val="none" w:sz="0" w:space="0" w:color="auto"/>
        <w:left w:val="none" w:sz="0" w:space="0" w:color="auto"/>
        <w:bottom w:val="none" w:sz="0" w:space="0" w:color="auto"/>
        <w:right w:val="none" w:sz="0" w:space="0" w:color="auto"/>
      </w:divBdr>
    </w:div>
    <w:div w:id="16956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kreditraadet.dk/Realkreditl&#229;n/Renter_og_kurser/Kursdannelse.aspx" TargetMode="External"/><Relationship Id="rId3" Type="http://schemas.openxmlformats.org/officeDocument/2006/relationships/settings" Target="settings.xml"/><Relationship Id="rId7" Type="http://schemas.openxmlformats.org/officeDocument/2006/relationships/hyperlink" Target="http://www.realkreditraadet.dk/Realkreditl%C3%A5n/Renter_og_kurser/Rentefasts%C3%A6ttels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lkreditraadet.dk/Realkreditl&#229;n/Renter_og_kurser/Kursdannelse.aspx" TargetMode="External"/><Relationship Id="rId11" Type="http://schemas.openxmlformats.org/officeDocument/2006/relationships/theme" Target="theme/theme1.xml"/><Relationship Id="rId5" Type="http://schemas.openxmlformats.org/officeDocument/2006/relationships/hyperlink" Target="http://www.banktorvet.dk/oekonomi/markedsren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lkreditraadet.dk/Realkreditl%C3%A5n/Renter_og_kurser/Rentefasts%C3%A6ttelse.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7644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Brygger</dc:creator>
  <cp:lastModifiedBy>Jesper Brygger</cp:lastModifiedBy>
  <cp:revision>2</cp:revision>
  <dcterms:created xsi:type="dcterms:W3CDTF">2016-02-15T21:49:00Z</dcterms:created>
  <dcterms:modified xsi:type="dcterms:W3CDTF">2016-02-15T21:49:00Z</dcterms:modified>
</cp:coreProperties>
</file>